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textAlignment w:val="baseline"/>
        <w:rPr>
          <w:rFonts w:ascii="Times New Roman" w:hAnsi="Times New Roman" w:eastAsia="宋体" w:cs="Times New Roman"/>
          <w:b/>
          <w:bCs/>
          <w:sz w:val="36"/>
          <w:szCs w:val="36"/>
          <w:lang w:eastAsia="zh-CN"/>
        </w:rPr>
      </w:pPr>
      <w:r>
        <w:rPr>
          <w:rFonts w:hint="eastAsia" w:ascii="Times New Roman" w:hAnsi="Times New Roman" w:eastAsia="Times New Roman" w:cs="Times New Roman"/>
          <w:b/>
          <w:bCs/>
          <w:sz w:val="36"/>
          <w:szCs w:val="36"/>
        </w:rPr>
        <w:t xml:space="preserve">The Course </w:t>
      </w:r>
      <w:r>
        <w:rPr>
          <w:rFonts w:ascii="Times New Roman" w:hAnsi="Times New Roman" w:eastAsia="Times New Roman" w:cs="Times New Roman"/>
          <w:b/>
          <w:bCs/>
          <w:sz w:val="36"/>
          <w:szCs w:val="36"/>
        </w:rPr>
        <w:t>Syllabus</w:t>
      </w:r>
      <w:r>
        <w:rPr>
          <w:rFonts w:hint="eastAsia" w:ascii="Times New Roman" w:hAnsi="Times New Roman" w:eastAsia="Times New Roman" w:cs="Times New Roman"/>
          <w:b/>
          <w:bCs/>
          <w:sz w:val="36"/>
          <w:szCs w:val="36"/>
        </w:rPr>
        <w:t xml:space="preserve"> of </w:t>
      </w:r>
      <w:r>
        <w:rPr>
          <w:rFonts w:hint="eastAsia" w:ascii="Times New Roman" w:hAnsi="Times New Roman" w:eastAsia="宋体" w:cs="Times New Roman"/>
          <w:b/>
          <w:bCs/>
          <w:sz w:val="36"/>
          <w:szCs w:val="36"/>
          <w:lang w:eastAsia="zh-CN"/>
        </w:rPr>
        <w:t>Global Trade Relations</w:t>
      </w:r>
    </w:p>
    <w:p>
      <w:pPr>
        <w:pStyle w:val="8"/>
        <w:ind w:right="120"/>
        <w:jc w:val="right"/>
      </w:pPr>
      <w:r>
        <w:rPr>
          <w:rFonts w:ascii="Candara" w:hAnsi="Candara"/>
          <w:sz w:val="32"/>
          <w:szCs w:val="32"/>
        </w:rPr>
        <w:t>Global Trade Relations</w:t>
      </w:r>
      <w:bookmarkStart w:id="0" w:name="_GoBack"/>
      <w:bookmarkEnd w:id="0"/>
    </w:p>
    <w:p>
      <w:pPr>
        <w:jc w:val="right"/>
        <w:rPr>
          <w:rFonts w:ascii="Candara" w:hAnsi="Candara" w:cs="Times New Roman"/>
        </w:rPr>
      </w:pPr>
      <w:r>
        <w:rPr>
          <w:rFonts w:ascii="Candara" w:hAnsi="Candara" w:cs="Times New Roman"/>
        </w:rPr>
        <w:t>ITRN – 603</w:t>
      </w:r>
    </w:p>
    <w:p>
      <w:pPr>
        <w:jc w:val="right"/>
        <w:rPr>
          <w:rFonts w:ascii="Candara" w:hAnsi="Candara" w:cs="Times New Roman"/>
        </w:rPr>
      </w:pPr>
      <w:r>
        <w:rPr>
          <w:rFonts w:ascii="Candara" w:hAnsi="Candara" w:cs="Times New Roman"/>
        </w:rPr>
        <w:t>Summer 2022</w:t>
      </w:r>
    </w:p>
    <w:p>
      <w:pPr>
        <w:jc w:val="right"/>
        <w:rPr>
          <w:rFonts w:ascii="Candara" w:hAnsi="Candara" w:cs="Times New Roman"/>
        </w:rPr>
      </w:pPr>
      <w:r>
        <w:rPr>
          <w:rFonts w:ascii="Candara" w:hAnsi="Candara" w:cs="Times New Roman"/>
        </w:rPr>
        <w:t>Schar School of Policy and Government</w:t>
      </w:r>
    </w:p>
    <w:p>
      <w:pPr>
        <w:jc w:val="right"/>
        <w:rPr>
          <w:rFonts w:ascii="Candara" w:hAnsi="Candara" w:cs="Times New Roman"/>
        </w:rPr>
      </w:pPr>
      <w:r>
        <w:rPr>
          <w:rFonts w:ascii="Candara" w:hAnsi="Candara" w:cs="Times New Roman"/>
        </w:rPr>
        <w:t>George Mason University in cooperation with Capital University of Economics and Business (CUEB)</w:t>
      </w:r>
    </w:p>
    <w:p>
      <w:pPr>
        <w:rPr>
          <w:rFonts w:ascii="Times New Roman" w:hAnsi="Times New Roman" w:cs="Times New Roman"/>
        </w:rPr>
      </w:pPr>
    </w:p>
    <w:p>
      <w:pPr>
        <w:rPr>
          <w:rFonts w:ascii="Candara" w:hAnsi="Candara" w:cs="Times New Roman"/>
        </w:rPr>
      </w:pPr>
      <w:r>
        <w:rPr>
          <w:rFonts w:ascii="Candara" w:hAnsi="Candara" w:cs="Times New Roman"/>
          <w:b/>
        </w:rPr>
        <w:t>Professor:</w:t>
      </w:r>
      <w:r>
        <w:rPr>
          <w:rFonts w:ascii="Candara" w:hAnsi="Candara" w:cs="Times New Roman"/>
        </w:rPr>
        <w:tab/>
      </w:r>
      <w:r>
        <w:rPr>
          <w:rFonts w:ascii="Candara" w:hAnsi="Candara" w:cs="Times New Roman"/>
        </w:rPr>
        <w:t>Mark S. Langevin, Ph.D.</w:t>
      </w:r>
    </w:p>
    <w:p>
      <w:pPr>
        <w:rPr>
          <w:rFonts w:ascii="Candara" w:hAnsi="Candara" w:cs="Times New Roman"/>
        </w:rPr>
      </w:pPr>
      <w:r>
        <w:rPr>
          <w:rFonts w:ascii="Candara" w:hAnsi="Candara" w:cs="Times New Roman"/>
          <w:b/>
        </w:rPr>
        <w:t>Phone:</w:t>
      </w:r>
      <w:r>
        <w:rPr>
          <w:rFonts w:ascii="Candara" w:hAnsi="Candara" w:cs="Times New Roman"/>
        </w:rPr>
        <w:tab/>
      </w:r>
      <w:r>
        <w:rPr>
          <w:rFonts w:ascii="Candara" w:hAnsi="Candara" w:cs="Times New Roman"/>
        </w:rPr>
        <w:tab/>
      </w:r>
      <w:r>
        <w:rPr>
          <w:rFonts w:ascii="Candara" w:hAnsi="Candara" w:cs="Times New Roman"/>
        </w:rPr>
        <w:t>(202) 744-0072</w:t>
      </w:r>
    </w:p>
    <w:p>
      <w:pPr>
        <w:rPr>
          <w:rFonts w:ascii="Candara" w:hAnsi="Candara" w:cs="Times New Roman"/>
        </w:rPr>
      </w:pPr>
      <w:r>
        <w:rPr>
          <w:rFonts w:ascii="Candara" w:hAnsi="Candara" w:cs="Times New Roman"/>
          <w:b/>
        </w:rPr>
        <w:t>E-mail:</w:t>
      </w:r>
      <w:r>
        <w:rPr>
          <w:rFonts w:ascii="Candara" w:hAnsi="Candara" w:cs="Times New Roman"/>
        </w:rPr>
        <w:tab/>
      </w:r>
      <w:r>
        <w:rPr>
          <w:rFonts w:ascii="Candara" w:hAnsi="Candara" w:cs="Times New Roman"/>
        </w:rPr>
        <w:tab/>
      </w:r>
      <w:r>
        <w:fldChar w:fldCharType="begin"/>
      </w:r>
      <w:r>
        <w:instrText xml:space="preserve"> HYPERLINK "mailto:Mlangev2@gmu.edu" </w:instrText>
      </w:r>
      <w:r>
        <w:fldChar w:fldCharType="separate"/>
      </w:r>
      <w:r>
        <w:rPr>
          <w:rStyle w:val="14"/>
          <w:rFonts w:ascii="Candara" w:hAnsi="Candara" w:cs="Times New Roman"/>
        </w:rPr>
        <w:t>Mlangev2@gmu.edu</w:t>
      </w:r>
      <w:r>
        <w:rPr>
          <w:rStyle w:val="14"/>
          <w:rFonts w:ascii="Candara" w:hAnsi="Candara" w:cs="Times New Roman"/>
        </w:rPr>
        <w:fldChar w:fldCharType="end"/>
      </w:r>
      <w:r>
        <w:rPr>
          <w:rFonts w:ascii="Candara" w:hAnsi="Candara" w:cs="Times New Roman"/>
        </w:rPr>
        <w:t xml:space="preserve"> </w:t>
      </w:r>
    </w:p>
    <w:p>
      <w:pPr>
        <w:pBdr>
          <w:bottom w:val="single" w:color="auto" w:sz="12" w:space="1"/>
        </w:pBdr>
        <w:rPr>
          <w:rFonts w:ascii="Candara" w:hAnsi="Candara" w:cs="Times New Roman"/>
        </w:rPr>
      </w:pPr>
    </w:p>
    <w:p>
      <w:pPr>
        <w:rPr>
          <w:rFonts w:ascii="Candara" w:hAnsi="Candara" w:cs="Times New Roman"/>
          <w:b/>
          <w:bCs/>
          <w:iCs/>
        </w:rPr>
      </w:pPr>
    </w:p>
    <w:p>
      <w:pPr>
        <w:rPr>
          <w:rFonts w:ascii="Candara" w:hAnsi="Candara" w:eastAsia="Times New Roman" w:cs="Times New Roman"/>
          <w:b/>
          <w:bCs/>
          <w:iCs/>
        </w:rPr>
      </w:pPr>
      <w:r>
        <w:rPr>
          <w:rFonts w:ascii="Candara" w:hAnsi="Candara" w:cs="Times New Roman"/>
          <w:b/>
          <w:bCs/>
          <w:iCs/>
        </w:rPr>
        <w:t>“</w:t>
      </w:r>
      <w:r>
        <w:rPr>
          <w:rFonts w:ascii="Candara" w:hAnsi="Candara" w:eastAsia="Times New Roman" w:cs="Times New Roman"/>
          <w:b/>
          <w:bCs/>
          <w:iCs/>
          <w:color w:val="000000"/>
          <w:sz w:val="21"/>
          <w:szCs w:val="21"/>
          <w:shd w:val="clear" w:color="auto" w:fill="FFFFFF"/>
        </w:rPr>
        <w:t>Retreating from trade would make countries more, not less, vulnerable to production shocks arising from natural disasters, crop failure, or disease outbreaks. That does not sound like good risk management in an age of climate crisis and pandemics.”</w:t>
      </w:r>
    </w:p>
    <w:p>
      <w:pPr>
        <w:widowControl w:val="0"/>
        <w:autoSpaceDE w:val="0"/>
        <w:autoSpaceDN w:val="0"/>
        <w:adjustRightInd w:val="0"/>
        <w:spacing w:after="240"/>
        <w:contextualSpacing/>
        <w:rPr>
          <w:rFonts w:ascii="Candara" w:hAnsi="Candara" w:cs="Times New Roman"/>
          <w:bCs/>
          <w:i/>
          <w:iCs/>
        </w:rPr>
      </w:pPr>
    </w:p>
    <w:p>
      <w:pPr>
        <w:widowControl w:val="0"/>
        <w:autoSpaceDE w:val="0"/>
        <w:autoSpaceDN w:val="0"/>
        <w:adjustRightInd w:val="0"/>
        <w:spacing w:after="240"/>
        <w:contextualSpacing/>
        <w:jc w:val="right"/>
        <w:rPr>
          <w:rFonts w:ascii="Candara" w:hAnsi="Candara" w:cs="Times New Roman"/>
          <w:bCs/>
          <w:i/>
          <w:iCs/>
          <w:sz w:val="20"/>
          <w:szCs w:val="20"/>
        </w:rPr>
      </w:pPr>
      <w:r>
        <w:rPr>
          <w:rFonts w:ascii="Candara" w:hAnsi="Candara" w:cs="Times New Roman"/>
          <w:bCs/>
          <w:i/>
          <w:iCs/>
          <w:sz w:val="20"/>
          <w:szCs w:val="20"/>
        </w:rPr>
        <w:t xml:space="preserve">World Trade Organization Director-General Ngozi Okonjo-Iweala </w:t>
      </w:r>
    </w:p>
    <w:p>
      <w:pPr>
        <w:widowControl w:val="0"/>
        <w:autoSpaceDE w:val="0"/>
        <w:autoSpaceDN w:val="0"/>
        <w:adjustRightInd w:val="0"/>
        <w:spacing w:after="240"/>
        <w:contextualSpacing/>
        <w:jc w:val="right"/>
        <w:rPr>
          <w:rFonts w:ascii="Candara" w:hAnsi="Candara" w:cs="Times New Roman"/>
          <w:bCs/>
          <w:i/>
          <w:iCs/>
          <w:sz w:val="20"/>
          <w:szCs w:val="20"/>
        </w:rPr>
      </w:pPr>
      <w:r>
        <w:rPr>
          <w:rFonts w:ascii="Candara" w:hAnsi="Candara" w:cs="Times New Roman"/>
          <w:bCs/>
          <w:i/>
          <w:iCs/>
          <w:sz w:val="20"/>
          <w:szCs w:val="20"/>
        </w:rPr>
        <w:t>National Foreign Trade Council, 27 April 2022</w:t>
      </w:r>
    </w:p>
    <w:p>
      <w:pPr>
        <w:jc w:val="both"/>
        <w:rPr>
          <w:rFonts w:ascii="Candara" w:hAnsi="Candara" w:cs="Times New Roman"/>
        </w:rPr>
      </w:pPr>
    </w:p>
    <w:p>
      <w:pPr>
        <w:jc w:val="both"/>
        <w:rPr>
          <w:rFonts w:ascii="Candara" w:hAnsi="Candara" w:cs="Times New Roman"/>
        </w:rPr>
      </w:pPr>
      <w:r>
        <w:rPr>
          <w:rFonts w:ascii="Candara" w:hAnsi="Candara" w:cs="Times New Roman"/>
        </w:rPr>
        <w:t>How is the changing global balance of economic and political power shaping global trade relations? What are the sources fueling trade related tensions and geopolitical disputes around the world today? How has Russia’s invasion of Ukraine impacted the global trading system after the onset of the COVID-19 pandemic? What explains the United States’ unilateral and multilateral responses to the rise of trade related conflict, especially the “trade war” with China? Is the rise of trade conflict a new global trend or will it play out as a momentary period of disruption before the emergence of a new global consensus framed by greater economic cooperation and the struggle for what United National Conference on Trade and Development (UNCTAD) calls the global green new deal? Can global trade drive development and growth toward a low carbon pathway?</w:t>
      </w:r>
    </w:p>
    <w:p>
      <w:pPr>
        <w:jc w:val="both"/>
        <w:rPr>
          <w:rFonts w:ascii="Candara" w:hAnsi="Candara" w:cs="Times New Roman"/>
          <w:b/>
        </w:rPr>
      </w:pPr>
    </w:p>
    <w:p>
      <w:pPr>
        <w:jc w:val="both"/>
        <w:rPr>
          <w:rFonts w:ascii="Candara" w:hAnsi="Candara" w:cs="Times New Roman"/>
        </w:rPr>
      </w:pPr>
      <w:r>
        <w:rPr>
          <w:rFonts w:ascii="Candara" w:hAnsi="Candara" w:cs="Times New Roman"/>
          <w:i/>
        </w:rPr>
        <w:t>Global Trade Relations</w:t>
      </w:r>
      <w:r>
        <w:rPr>
          <w:rFonts w:ascii="Candara" w:hAnsi="Candara" w:cs="Times New Roman"/>
        </w:rPr>
        <w:t xml:space="preserve"> considers these questions through an examination of the global political economy, the growing role of international trade as a force for development and political conflict, the evolution and structure of the global trade regime institutionalized through the World Trade Organization (WTO), and the expanding number of preferential and regional free trade agreements and negotiations. The course employs a multi-disciplinary approach to survey the principal empirical dimensions of international trade as well as the economic, legal, and political theories that offer explanations of the development of international trade and the evolution of the WTO as well as those preferential agreements and regimes that promote and regulate exchanges of goods and services around the world. </w:t>
      </w:r>
    </w:p>
    <w:p>
      <w:pPr>
        <w:jc w:val="both"/>
        <w:rPr>
          <w:rFonts w:ascii="Candara" w:hAnsi="Candara" w:cs="Times New Roman"/>
          <w:b/>
          <w:sz w:val="28"/>
          <w:szCs w:val="28"/>
        </w:rPr>
      </w:pPr>
    </w:p>
    <w:p>
      <w:pPr>
        <w:jc w:val="both"/>
        <w:rPr>
          <w:rFonts w:ascii="Candara" w:hAnsi="Candara" w:cs="Times New Roman"/>
        </w:rPr>
      </w:pPr>
      <w:r>
        <w:rPr>
          <w:rFonts w:ascii="Candara" w:hAnsi="Candara" w:cs="Times New Roman"/>
          <w:b/>
          <w:sz w:val="28"/>
          <w:szCs w:val="28"/>
        </w:rPr>
        <w:t>Course Goals</w:t>
      </w:r>
    </w:p>
    <w:p>
      <w:pPr>
        <w:jc w:val="both"/>
        <w:rPr>
          <w:rFonts w:ascii="Candara" w:hAnsi="Candara" w:cs="Times New Roman"/>
        </w:rPr>
      </w:pPr>
      <w:r>
        <w:rPr>
          <w:rFonts w:ascii="Candara" w:hAnsi="Candara" w:cs="Times New Roman"/>
          <w:i/>
        </w:rPr>
        <w:t xml:space="preserve">Global Trade Relations </w:t>
      </w:r>
      <w:r>
        <w:rPr>
          <w:rFonts w:ascii="Candara" w:hAnsi="Candara" w:cs="Times New Roman"/>
        </w:rPr>
        <w:t>offers students the opportunity to understand the role of trade as both a cause and consequence of the recent evolution of the global political economy and critically assess the explanatory power of divergent theories and propositions that explain international trade regime development with particular emphasis on the origins and institutional development of the WTO. The course also provides a focused case study approach to critically evaluate the formation and implementation of U.S. trade policy from the establishment of the GATT to the disruptive, often unilateral trade policies and measures implemented by the Trump administration.</w:t>
      </w:r>
    </w:p>
    <w:p>
      <w:pPr>
        <w:jc w:val="both"/>
        <w:rPr>
          <w:rFonts w:ascii="Candara" w:hAnsi="Candara" w:cs="Times New Roman"/>
        </w:rPr>
      </w:pPr>
    </w:p>
    <w:p>
      <w:pPr>
        <w:jc w:val="both"/>
        <w:rPr>
          <w:rFonts w:ascii="Candara" w:hAnsi="Candara" w:cs="Times New Roman"/>
          <w:b/>
          <w:sz w:val="28"/>
          <w:szCs w:val="28"/>
        </w:rPr>
      </w:pPr>
      <w:r>
        <w:rPr>
          <w:rFonts w:ascii="Candara" w:hAnsi="Candara" w:cs="Times New Roman"/>
          <w:b/>
          <w:sz w:val="28"/>
          <w:szCs w:val="28"/>
        </w:rPr>
        <w:t>Course Learning Outcomes</w:t>
      </w:r>
    </w:p>
    <w:p>
      <w:pPr>
        <w:jc w:val="both"/>
        <w:rPr>
          <w:rFonts w:ascii="Candara" w:hAnsi="Candara" w:cs="Times New Roman"/>
        </w:rPr>
      </w:pPr>
      <w:r>
        <w:rPr>
          <w:rFonts w:ascii="Candara" w:hAnsi="Candara" w:cs="Times New Roman"/>
        </w:rPr>
        <w:t>This course offers students the opportunity to demonstrate the achievement of the following learning outcomes through presentations and lectures, assignments and the final exam.</w:t>
      </w:r>
    </w:p>
    <w:p>
      <w:pPr>
        <w:jc w:val="both"/>
        <w:rPr>
          <w:rFonts w:ascii="Candara" w:hAnsi="Candara" w:cs="Times New Roman"/>
          <w:i/>
        </w:rPr>
      </w:pPr>
    </w:p>
    <w:p>
      <w:pPr>
        <w:pStyle w:val="27"/>
        <w:numPr>
          <w:ilvl w:val="0"/>
          <w:numId w:val="1"/>
        </w:numPr>
        <w:jc w:val="both"/>
        <w:rPr>
          <w:rFonts w:ascii="Candara" w:hAnsi="Candara" w:cs="Times New Roman"/>
        </w:rPr>
      </w:pPr>
      <w:r>
        <w:rPr>
          <w:rFonts w:ascii="Candara" w:hAnsi="Candara" w:cs="Times New Roman"/>
        </w:rPr>
        <w:t>Recognize and employ prominent theories of international trade and trade policy formation to explain the development of the multilateral trading system as well as national policy responses;</w:t>
      </w:r>
    </w:p>
    <w:p>
      <w:pPr>
        <w:jc w:val="both"/>
        <w:rPr>
          <w:rFonts w:ascii="Candara" w:hAnsi="Candara" w:cs="Times New Roman"/>
        </w:rPr>
      </w:pPr>
    </w:p>
    <w:p>
      <w:pPr>
        <w:pStyle w:val="27"/>
        <w:numPr>
          <w:ilvl w:val="0"/>
          <w:numId w:val="1"/>
        </w:numPr>
        <w:jc w:val="both"/>
        <w:rPr>
          <w:rFonts w:ascii="Candara" w:hAnsi="Candara" w:cs="Times New Roman"/>
        </w:rPr>
      </w:pPr>
      <w:r>
        <w:rPr>
          <w:rFonts w:ascii="Candara" w:hAnsi="Candara" w:cs="Times New Roman"/>
        </w:rPr>
        <w:t>Understand and critically review the underlying philosophy and political economy of the World Trade Organization;</w:t>
      </w:r>
    </w:p>
    <w:p>
      <w:pPr>
        <w:jc w:val="both"/>
        <w:rPr>
          <w:rFonts w:ascii="Candara" w:hAnsi="Candara" w:cs="Times New Roman"/>
        </w:rPr>
      </w:pPr>
    </w:p>
    <w:p>
      <w:pPr>
        <w:pStyle w:val="27"/>
        <w:numPr>
          <w:ilvl w:val="0"/>
          <w:numId w:val="1"/>
        </w:numPr>
        <w:jc w:val="both"/>
        <w:rPr>
          <w:rFonts w:ascii="Candara" w:hAnsi="Candara" w:cs="Times New Roman"/>
        </w:rPr>
      </w:pPr>
      <w:r>
        <w:rPr>
          <w:rFonts w:ascii="Candara" w:hAnsi="Candara" w:cs="Times New Roman"/>
        </w:rPr>
        <w:t>Describe and comprehend the multilateral trading system, preferential and regional trade agreements, and the associated rules, practices, legal frameworks, and essential regulatory institutions and processes.</w:t>
      </w:r>
    </w:p>
    <w:p>
      <w:pPr>
        <w:jc w:val="both"/>
        <w:rPr>
          <w:rFonts w:ascii="Candara" w:hAnsi="Candara" w:cs="Times New Roman"/>
          <w:i/>
        </w:rPr>
      </w:pPr>
    </w:p>
    <w:p>
      <w:pPr>
        <w:pStyle w:val="27"/>
        <w:numPr>
          <w:ilvl w:val="0"/>
          <w:numId w:val="1"/>
        </w:numPr>
        <w:jc w:val="both"/>
        <w:rPr>
          <w:rFonts w:ascii="Candara" w:hAnsi="Candara" w:cs="Times New Roman"/>
        </w:rPr>
      </w:pPr>
      <w:r>
        <w:rPr>
          <w:rFonts w:ascii="Candara" w:hAnsi="Candara" w:cs="Times New Roman"/>
        </w:rPr>
        <w:t>Understand the economic, legal, and political foundations of international trade regime formation and development;</w:t>
      </w:r>
    </w:p>
    <w:p>
      <w:pPr>
        <w:jc w:val="both"/>
        <w:rPr>
          <w:rFonts w:ascii="Candara" w:hAnsi="Candara" w:cs="Times New Roman"/>
        </w:rPr>
      </w:pPr>
    </w:p>
    <w:p>
      <w:pPr>
        <w:pStyle w:val="27"/>
        <w:numPr>
          <w:ilvl w:val="0"/>
          <w:numId w:val="1"/>
        </w:numPr>
        <w:jc w:val="both"/>
        <w:rPr>
          <w:rFonts w:ascii="Candara" w:hAnsi="Candara" w:cs="Times New Roman"/>
          <w:b/>
          <w:sz w:val="28"/>
          <w:szCs w:val="28"/>
        </w:rPr>
      </w:pPr>
      <w:r>
        <w:rPr>
          <w:rFonts w:ascii="Candara" w:hAnsi="Candara" w:cs="Times New Roman"/>
        </w:rPr>
        <w:t>Comprehend and employ the methodological foundations and techniques for examining global political economy, international trade, and the formation and development of the WTO and preferential trade agreements.</w:t>
      </w:r>
    </w:p>
    <w:p>
      <w:pPr>
        <w:jc w:val="both"/>
        <w:rPr>
          <w:rFonts w:ascii="Candara" w:hAnsi="Candara" w:cs="Times New Roman"/>
          <w:b/>
          <w:sz w:val="28"/>
          <w:szCs w:val="28"/>
        </w:rPr>
      </w:pPr>
      <w:r>
        <w:rPr>
          <w:rFonts w:ascii="Candara" w:hAnsi="Candara" w:cs="Times New Roman"/>
          <w:b/>
          <w:sz w:val="28"/>
          <w:szCs w:val="28"/>
        </w:rPr>
        <w:t>Course Methods</w:t>
      </w:r>
    </w:p>
    <w:p>
      <w:pPr>
        <w:jc w:val="both"/>
        <w:rPr>
          <w:rFonts w:ascii="Candara" w:hAnsi="Candara" w:cs="Times New Roman"/>
        </w:rPr>
      </w:pPr>
      <w:r>
        <w:rPr>
          <w:rFonts w:ascii="Candara" w:hAnsi="Candara" w:cs="Times New Roman"/>
          <w:i/>
        </w:rPr>
        <w:t>Global Trade Relations</w:t>
      </w:r>
      <w:r>
        <w:rPr>
          <w:rFonts w:ascii="Candara" w:hAnsi="Candara" w:cs="Times New Roman"/>
        </w:rPr>
        <w:t xml:space="preserve"> relies on a diverse set of teaching methods and learning opportunities to create a safe and successful learning experience as well as promote an engaging learning community for all students, faculty and guests. These methods include a rigorous set of required readings, lectures, facilitated class discussions, assignments and the final exam. Students are expected to attend all scheduled course sessions to achieve success in this course.</w:t>
      </w:r>
    </w:p>
    <w:p>
      <w:pPr>
        <w:jc w:val="both"/>
        <w:rPr>
          <w:rFonts w:ascii="Candara" w:hAnsi="Candara" w:cs="Times New Roman"/>
          <w:b/>
          <w:sz w:val="28"/>
          <w:szCs w:val="28"/>
        </w:rPr>
      </w:pPr>
    </w:p>
    <w:p>
      <w:pPr>
        <w:jc w:val="both"/>
        <w:rPr>
          <w:rFonts w:ascii="Candara" w:hAnsi="Candara" w:cs="Times New Roman"/>
          <w:b/>
          <w:sz w:val="28"/>
          <w:szCs w:val="28"/>
        </w:rPr>
      </w:pPr>
      <w:r>
        <w:rPr>
          <w:rFonts w:ascii="Candara" w:hAnsi="Candara" w:cs="Times New Roman"/>
          <w:b/>
          <w:sz w:val="28"/>
          <w:szCs w:val="28"/>
        </w:rPr>
        <w:t xml:space="preserve">Required Readings </w:t>
      </w:r>
    </w:p>
    <w:p>
      <w:pPr>
        <w:jc w:val="both"/>
        <w:rPr>
          <w:rFonts w:ascii="Candara" w:hAnsi="Candara" w:cs="Times New Roman"/>
          <w:i/>
        </w:rPr>
      </w:pPr>
      <w:r>
        <w:rPr>
          <w:rFonts w:ascii="Candara" w:hAnsi="Candara" w:cs="Times New Roman"/>
        </w:rPr>
        <w:t>Required readings are listed in the Course Schedule. Each live sessions features one required reading.</w:t>
      </w:r>
    </w:p>
    <w:p>
      <w:pPr>
        <w:jc w:val="both"/>
        <w:rPr>
          <w:rFonts w:ascii="Candara" w:hAnsi="Candara" w:cs="Times New Roman"/>
          <w:i/>
        </w:rPr>
      </w:pPr>
    </w:p>
    <w:p>
      <w:pPr>
        <w:widowControl w:val="0"/>
        <w:autoSpaceDE w:val="0"/>
        <w:autoSpaceDN w:val="0"/>
        <w:adjustRightInd w:val="0"/>
        <w:spacing w:after="240"/>
        <w:jc w:val="both"/>
        <w:rPr>
          <w:rFonts w:ascii="Candara" w:hAnsi="Candara" w:cs="Times New Roman"/>
          <w:b/>
          <w:sz w:val="28"/>
          <w:szCs w:val="28"/>
        </w:rPr>
      </w:pPr>
      <w:r>
        <w:rPr>
          <w:rFonts w:ascii="Candara" w:hAnsi="Candara" w:cs="Times New Roman"/>
          <w:b/>
          <w:sz w:val="28"/>
          <w:szCs w:val="28"/>
        </w:rPr>
        <w:t>Assignments and Exams</w:t>
      </w:r>
    </w:p>
    <w:p>
      <w:pPr>
        <w:widowControl w:val="0"/>
        <w:autoSpaceDE w:val="0"/>
        <w:autoSpaceDN w:val="0"/>
        <w:adjustRightInd w:val="0"/>
        <w:spacing w:after="240"/>
        <w:contextualSpacing/>
        <w:jc w:val="both"/>
        <w:rPr>
          <w:rFonts w:ascii="Candara" w:hAnsi="Candara" w:cs="Times New Roman"/>
          <w:b/>
          <w:i/>
        </w:rPr>
      </w:pPr>
      <w:r>
        <w:rPr>
          <w:rFonts w:ascii="Candara" w:hAnsi="Candara" w:cs="Times New Roman"/>
          <w:b/>
          <w:i/>
        </w:rPr>
        <w:t>Class Participation</w:t>
      </w:r>
    </w:p>
    <w:p>
      <w:pPr>
        <w:widowControl w:val="0"/>
        <w:autoSpaceDE w:val="0"/>
        <w:autoSpaceDN w:val="0"/>
        <w:adjustRightInd w:val="0"/>
        <w:spacing w:after="240"/>
        <w:contextualSpacing/>
        <w:jc w:val="both"/>
        <w:rPr>
          <w:rFonts w:ascii="Candara" w:hAnsi="Candara" w:cs="Times New Roman"/>
        </w:rPr>
      </w:pPr>
      <w:r>
        <w:rPr>
          <w:rFonts w:ascii="Candara" w:hAnsi="Candara" w:cs="Times New Roman"/>
        </w:rPr>
        <w:t>Students are expected to attend all regularly scheduled course sessions and to be prepared to discuss the assigned readings for the week. Class participation is worth a maximum of 30 points.</w:t>
      </w:r>
    </w:p>
    <w:p>
      <w:pPr>
        <w:widowControl w:val="0"/>
        <w:autoSpaceDE w:val="0"/>
        <w:autoSpaceDN w:val="0"/>
        <w:adjustRightInd w:val="0"/>
        <w:spacing w:after="240"/>
        <w:contextualSpacing/>
        <w:jc w:val="both"/>
        <w:rPr>
          <w:rFonts w:ascii="Candara" w:hAnsi="Candara" w:cs="Times New Roman"/>
        </w:rPr>
      </w:pPr>
      <w:r>
        <w:rPr>
          <w:rFonts w:ascii="Candara" w:hAnsi="Candara" w:cs="Times New Roman"/>
          <w:b/>
          <w:i/>
        </w:rPr>
        <w:t>Global Trade Challenges Essay</w:t>
      </w:r>
    </w:p>
    <w:p>
      <w:pPr>
        <w:widowControl w:val="0"/>
        <w:autoSpaceDE w:val="0"/>
        <w:autoSpaceDN w:val="0"/>
        <w:adjustRightInd w:val="0"/>
        <w:spacing w:after="240"/>
        <w:contextualSpacing/>
        <w:jc w:val="both"/>
        <w:rPr>
          <w:rFonts w:ascii="Candara" w:hAnsi="Candara" w:cs="Times New Roman"/>
        </w:rPr>
      </w:pPr>
      <w:r>
        <w:rPr>
          <w:rFonts w:ascii="Candara" w:hAnsi="Candara" w:cs="Times New Roman"/>
        </w:rPr>
        <w:t xml:space="preserve">Students are required to submit a three (3) page, typed and doubled spaced essay that identifies, describes and critically assesses a particular, current challenge to global trade relations. The assignment is worth a maximum of 30 points. The assignment is due on 3 July. The essay requires: </w:t>
      </w:r>
    </w:p>
    <w:p>
      <w:pPr>
        <w:widowControl w:val="0"/>
        <w:autoSpaceDE w:val="0"/>
        <w:autoSpaceDN w:val="0"/>
        <w:adjustRightInd w:val="0"/>
        <w:spacing w:after="240"/>
        <w:contextualSpacing/>
        <w:jc w:val="both"/>
        <w:rPr>
          <w:rFonts w:ascii="Candara" w:hAnsi="Candara" w:cs="Times New Roman"/>
        </w:rPr>
      </w:pPr>
    </w:p>
    <w:p>
      <w:pPr>
        <w:widowControl w:val="0"/>
        <w:autoSpaceDE w:val="0"/>
        <w:autoSpaceDN w:val="0"/>
        <w:adjustRightInd w:val="0"/>
        <w:spacing w:after="240"/>
        <w:contextualSpacing/>
        <w:jc w:val="both"/>
        <w:rPr>
          <w:rFonts w:ascii="Candara" w:hAnsi="Candara" w:cs="Times New Roman"/>
        </w:rPr>
      </w:pPr>
      <w:r>
        <w:rPr>
          <w:rFonts w:ascii="Candara" w:hAnsi="Candara" w:cs="Times New Roman"/>
        </w:rPr>
        <w:t xml:space="preserve">1) Include a cover page with formal title, name, course name, and date; </w:t>
      </w:r>
    </w:p>
    <w:p>
      <w:pPr>
        <w:widowControl w:val="0"/>
        <w:autoSpaceDE w:val="0"/>
        <w:autoSpaceDN w:val="0"/>
        <w:adjustRightInd w:val="0"/>
        <w:spacing w:after="240"/>
        <w:contextualSpacing/>
        <w:jc w:val="both"/>
        <w:rPr>
          <w:rFonts w:ascii="Candara" w:hAnsi="Candara" w:cs="Times New Roman"/>
        </w:rPr>
      </w:pPr>
      <w:r>
        <w:rPr>
          <w:rFonts w:ascii="Candara" w:hAnsi="Candara" w:cs="Times New Roman"/>
        </w:rPr>
        <w:t xml:space="preserve">2) Present an introduction of a distinct global trade relations challenge and explain its importance; </w:t>
      </w:r>
    </w:p>
    <w:p>
      <w:pPr>
        <w:widowControl w:val="0"/>
        <w:autoSpaceDE w:val="0"/>
        <w:autoSpaceDN w:val="0"/>
        <w:adjustRightInd w:val="0"/>
        <w:spacing w:after="240"/>
        <w:contextualSpacing/>
        <w:jc w:val="both"/>
        <w:rPr>
          <w:rFonts w:ascii="Candara" w:hAnsi="Candara" w:cs="Times New Roman"/>
        </w:rPr>
      </w:pPr>
      <w:r>
        <w:rPr>
          <w:rFonts w:ascii="Candara" w:hAnsi="Candara" w:cs="Times New Roman"/>
        </w:rPr>
        <w:t xml:space="preserve">3) Provide a precise and empirical description of the challenge; and </w:t>
      </w:r>
    </w:p>
    <w:p>
      <w:pPr>
        <w:widowControl w:val="0"/>
        <w:autoSpaceDE w:val="0"/>
        <w:autoSpaceDN w:val="0"/>
        <w:adjustRightInd w:val="0"/>
        <w:spacing w:after="240"/>
        <w:contextualSpacing/>
        <w:jc w:val="both"/>
        <w:rPr>
          <w:rFonts w:ascii="Candara" w:hAnsi="Candara" w:cs="Times New Roman"/>
        </w:rPr>
      </w:pPr>
      <w:r>
        <w:rPr>
          <w:rFonts w:ascii="Candara" w:hAnsi="Candara" w:cs="Times New Roman"/>
        </w:rPr>
        <w:t xml:space="preserve">4) Considers its impacts and possible resolutions. </w:t>
      </w:r>
    </w:p>
    <w:p>
      <w:pPr>
        <w:widowControl w:val="0"/>
        <w:autoSpaceDE w:val="0"/>
        <w:autoSpaceDN w:val="0"/>
        <w:adjustRightInd w:val="0"/>
        <w:spacing w:after="240"/>
        <w:contextualSpacing/>
        <w:jc w:val="both"/>
        <w:rPr>
          <w:rFonts w:ascii="Candara" w:hAnsi="Candara" w:cs="Times New Roman"/>
        </w:rPr>
      </w:pPr>
    </w:p>
    <w:p>
      <w:pPr>
        <w:widowControl w:val="0"/>
        <w:autoSpaceDE w:val="0"/>
        <w:autoSpaceDN w:val="0"/>
        <w:adjustRightInd w:val="0"/>
        <w:spacing w:after="240"/>
        <w:contextualSpacing/>
        <w:jc w:val="both"/>
        <w:rPr>
          <w:rFonts w:ascii="Candara" w:hAnsi="Candara" w:cs="Times New Roman"/>
          <w:b/>
        </w:rPr>
      </w:pPr>
      <w:r>
        <w:rPr>
          <w:rFonts w:ascii="Candara" w:hAnsi="Candara" w:cs="Times New Roman"/>
          <w:b/>
        </w:rPr>
        <w:t>Assignment Rubric</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8"/>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5"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Meets and exceeds all requirements and effectively identifies and describes a global trade relations challenge and its impacts (requirements 1-4)</w:t>
            </w:r>
          </w:p>
        </w:tc>
        <w:tc>
          <w:tcPr>
            <w:tcW w:w="1530"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 xml:space="preserve"> 30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5"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Meets all assignment requirements</w:t>
            </w:r>
          </w:p>
        </w:tc>
        <w:tc>
          <w:tcPr>
            <w:tcW w:w="1530"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24-29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5"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Meets some but not all assignment requirements</w:t>
            </w:r>
          </w:p>
        </w:tc>
        <w:tc>
          <w:tcPr>
            <w:tcW w:w="1530"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18-23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5"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Does not meet assignment requirements</w:t>
            </w:r>
          </w:p>
        </w:tc>
        <w:tc>
          <w:tcPr>
            <w:tcW w:w="1530" w:type="dxa"/>
          </w:tcPr>
          <w:p>
            <w:pPr>
              <w:widowControl w:val="0"/>
              <w:autoSpaceDE w:val="0"/>
              <w:autoSpaceDN w:val="0"/>
              <w:adjustRightInd w:val="0"/>
              <w:spacing w:after="240"/>
              <w:contextualSpacing/>
              <w:jc w:val="both"/>
              <w:rPr>
                <w:rFonts w:ascii="Candara" w:hAnsi="Candara" w:cs="Times New Roman"/>
                <w:sz w:val="20"/>
                <w:szCs w:val="20"/>
              </w:rPr>
            </w:pPr>
            <w:r>
              <w:rPr>
                <w:rFonts w:ascii="Candara" w:hAnsi="Candara" w:cs="Times New Roman"/>
                <w:sz w:val="20"/>
                <w:szCs w:val="20"/>
              </w:rPr>
              <w:t>0 points</w:t>
            </w:r>
          </w:p>
        </w:tc>
      </w:tr>
    </w:tbl>
    <w:p>
      <w:pPr>
        <w:widowControl w:val="0"/>
        <w:autoSpaceDE w:val="0"/>
        <w:autoSpaceDN w:val="0"/>
        <w:adjustRightInd w:val="0"/>
        <w:spacing w:after="240"/>
        <w:contextualSpacing/>
        <w:jc w:val="both"/>
        <w:rPr>
          <w:rFonts w:ascii="Candara" w:hAnsi="Candara" w:cs="Times New Roman"/>
          <w:i/>
        </w:rPr>
      </w:pPr>
    </w:p>
    <w:p>
      <w:pPr>
        <w:widowControl w:val="0"/>
        <w:autoSpaceDE w:val="0"/>
        <w:autoSpaceDN w:val="0"/>
        <w:adjustRightInd w:val="0"/>
        <w:spacing w:after="240"/>
        <w:contextualSpacing/>
        <w:jc w:val="both"/>
        <w:rPr>
          <w:rFonts w:ascii="Candara" w:hAnsi="Candara" w:cs="Times New Roman"/>
          <w:b/>
          <w:i/>
        </w:rPr>
      </w:pPr>
      <w:r>
        <w:rPr>
          <w:rFonts w:ascii="Candara" w:hAnsi="Candara" w:cs="Times New Roman"/>
          <w:b/>
          <w:i/>
        </w:rPr>
        <w:t>The Final Exam (take home)</w:t>
      </w:r>
    </w:p>
    <w:p>
      <w:pPr>
        <w:widowControl w:val="0"/>
        <w:autoSpaceDE w:val="0"/>
        <w:autoSpaceDN w:val="0"/>
        <w:adjustRightInd w:val="0"/>
        <w:spacing w:after="240"/>
        <w:contextualSpacing/>
        <w:jc w:val="both"/>
        <w:rPr>
          <w:rFonts w:ascii="Candara" w:hAnsi="Candara" w:cs="Times New Roman"/>
        </w:rPr>
      </w:pPr>
      <w:r>
        <w:rPr>
          <w:rFonts w:ascii="Candara" w:hAnsi="Candara" w:cs="Times New Roman"/>
        </w:rPr>
        <w:t xml:space="preserve">The final exam question will be distributed and discussed in class on </w:t>
      </w:r>
      <w:r>
        <w:rPr>
          <w:rFonts w:hint="eastAsia" w:ascii="Candara" w:hAnsi="Candara" w:cs="Times New Roman"/>
          <w:lang w:val="en-US" w:eastAsia="zh-CN"/>
        </w:rPr>
        <w:t>26</w:t>
      </w:r>
      <w:r>
        <w:rPr>
          <w:rFonts w:ascii="Candara" w:hAnsi="Candara" w:cs="Times New Roman"/>
        </w:rPr>
        <w:t xml:space="preserve"> Ju</w:t>
      </w:r>
      <w:r>
        <w:rPr>
          <w:rFonts w:hint="eastAsia" w:ascii="Candara" w:hAnsi="Candara" w:cs="Times New Roman"/>
          <w:lang w:val="en-US" w:eastAsia="zh-CN"/>
        </w:rPr>
        <w:t>ne</w:t>
      </w:r>
      <w:r>
        <w:rPr>
          <w:rFonts w:ascii="Candara" w:hAnsi="Candara" w:cs="Times New Roman"/>
        </w:rPr>
        <w:t xml:space="preserve">. Students are required to submit a typed, double-spaced, five (5) page response to the final exam question. Students are required to draw from the required readings of this course to introduce, frame, conceptualize and document their responses. External sources are not required but can be used to supplement documentation. Sources should be carefully cited and a list of bibliographic references is required. Students must submit their final exam responses by electronic mail on July </w:t>
      </w:r>
      <w:r>
        <w:rPr>
          <w:rFonts w:hint="eastAsia" w:ascii="Candara" w:hAnsi="Candara" w:cs="Times New Roman"/>
          <w:lang w:val="en-US" w:eastAsia="zh-CN"/>
        </w:rPr>
        <w:t>7</w:t>
      </w:r>
      <w:r>
        <w:rPr>
          <w:rFonts w:ascii="Candara" w:hAnsi="Candara" w:cs="Times New Roman"/>
        </w:rPr>
        <w:t>. The Final Exam is worth a maximum of 40 points.</w:t>
      </w:r>
    </w:p>
    <w:p>
      <w:pPr>
        <w:spacing w:before="100" w:beforeAutospacing="1" w:after="100" w:afterAutospacing="1"/>
        <w:contextualSpacing/>
        <w:jc w:val="both"/>
        <w:rPr>
          <w:rFonts w:ascii="Candara" w:hAnsi="Candara" w:cs="Times New Roman"/>
          <w:b/>
          <w:bCs/>
          <w:sz w:val="28"/>
          <w:szCs w:val="28"/>
        </w:rPr>
      </w:pPr>
    </w:p>
    <w:p>
      <w:pPr>
        <w:spacing w:before="100" w:beforeAutospacing="1" w:after="100" w:afterAutospacing="1"/>
        <w:contextualSpacing/>
        <w:jc w:val="both"/>
        <w:rPr>
          <w:rFonts w:ascii="Candara" w:hAnsi="Candara" w:cs="Times New Roman"/>
          <w:b/>
          <w:bCs/>
          <w:sz w:val="28"/>
          <w:szCs w:val="28"/>
        </w:rPr>
      </w:pPr>
      <w:r>
        <w:rPr>
          <w:rFonts w:ascii="Candara" w:hAnsi="Candara" w:cs="Times New Roman"/>
          <w:b/>
          <w:bCs/>
          <w:sz w:val="28"/>
          <w:szCs w:val="28"/>
        </w:rPr>
        <w:t>Final Course Grade</w:t>
      </w:r>
    </w:p>
    <w:p>
      <w:pPr>
        <w:spacing w:before="100" w:beforeAutospacing="1" w:after="100" w:afterAutospacing="1"/>
        <w:contextualSpacing/>
        <w:jc w:val="both"/>
        <w:rPr>
          <w:rFonts w:ascii="Candara" w:hAnsi="Candara" w:cs="Times New Roman"/>
        </w:rPr>
      </w:pPr>
      <w:r>
        <w:rPr>
          <w:rFonts w:ascii="Candara" w:hAnsi="Candara" w:cs="Times New Roman"/>
        </w:rPr>
        <w:t>The following rubric summarizes the maximum point distribution for all assignments and exams required for completion of this course:</w:t>
      </w:r>
    </w:p>
    <w:p>
      <w:pPr>
        <w:spacing w:before="100" w:beforeAutospacing="1" w:after="100" w:afterAutospacing="1"/>
        <w:contextualSpacing/>
        <w:rPr>
          <w:rFonts w:ascii="Candara" w:hAnsi="Candara" w:cs="Times New Roman"/>
        </w:rPr>
      </w:pPr>
    </w:p>
    <w:tbl>
      <w:tblPr>
        <w:tblStyle w:val="10"/>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02"/>
        <w:gridCol w:w="4410"/>
        <w:gridCol w:w="153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02" w:type="dxa"/>
            <w:tcBorders>
              <w:top w:val="outset" w:color="auto" w:sz="6" w:space="0"/>
              <w:left w:val="outset" w:color="auto" w:sz="6" w:space="0"/>
              <w:bottom w:val="outset" w:color="auto" w:sz="6" w:space="0"/>
              <w:right w:val="outset" w:color="auto" w:sz="6" w:space="0"/>
            </w:tcBorders>
            <w:shd w:val="clear" w:color="auto" w:fill="44546A" w:themeFill="text2"/>
          </w:tcPr>
          <w:p>
            <w:pPr>
              <w:spacing w:before="100" w:beforeAutospacing="1" w:after="100" w:afterAutospacing="1"/>
              <w:rPr>
                <w:rFonts w:ascii="Candara" w:hAnsi="Candara" w:cs="Times New Roman"/>
                <w:color w:val="FFFFFF" w:themeColor="background1"/>
                <w:sz w:val="20"/>
                <w:szCs w:val="20"/>
                <w14:textFill>
                  <w14:solidFill>
                    <w14:schemeClr w14:val="bg1"/>
                  </w14:solidFill>
                </w14:textFill>
              </w:rPr>
            </w:pPr>
            <w:r>
              <w:rPr>
                <w:rFonts w:ascii="Candara" w:hAnsi="Candara" w:cs="Times New Roman"/>
                <w:bCs/>
                <w:color w:val="FFFFFF" w:themeColor="background1"/>
                <w:sz w:val="20"/>
                <w:szCs w:val="20"/>
                <w14:textFill>
                  <w14:solidFill>
                    <w14:schemeClr w14:val="bg1"/>
                  </w14:solidFill>
                </w14:textFill>
              </w:rPr>
              <w:t>Class Participation</w:t>
            </w:r>
          </w:p>
        </w:tc>
        <w:tc>
          <w:tcPr>
            <w:tcW w:w="4410" w:type="dxa"/>
            <w:tcBorders>
              <w:top w:val="outset" w:color="auto" w:sz="6" w:space="0"/>
              <w:left w:val="outset" w:color="auto" w:sz="6" w:space="0"/>
              <w:bottom w:val="outset" w:color="auto" w:sz="6" w:space="0"/>
              <w:right w:val="outset" w:color="auto" w:sz="6" w:space="0"/>
            </w:tcBorders>
            <w:shd w:val="clear" w:color="auto" w:fill="44546A" w:themeFill="text2"/>
          </w:tcPr>
          <w:p>
            <w:pPr>
              <w:spacing w:before="100" w:beforeAutospacing="1" w:after="100" w:afterAutospacing="1"/>
              <w:rPr>
                <w:rFonts w:ascii="Candara" w:hAnsi="Candara" w:cs="Times New Roman"/>
                <w:color w:val="FFFFFF" w:themeColor="background1"/>
                <w:sz w:val="20"/>
                <w:szCs w:val="20"/>
                <w14:textFill>
                  <w14:solidFill>
                    <w14:schemeClr w14:val="bg1"/>
                  </w14:solidFill>
                </w14:textFill>
              </w:rPr>
            </w:pPr>
            <w:r>
              <w:rPr>
                <w:rFonts w:ascii="Candara" w:hAnsi="Candara" w:cs="Times New Roman"/>
                <w:color w:val="FFFFFF" w:themeColor="background1"/>
                <w:sz w:val="20"/>
                <w:szCs w:val="20"/>
                <w14:textFill>
                  <w14:solidFill>
                    <w14:schemeClr w14:val="bg1"/>
                  </w14:solidFill>
                </w14:textFill>
              </w:rPr>
              <w:t>Global Trade Challenges Essay</w:t>
            </w:r>
          </w:p>
        </w:tc>
        <w:tc>
          <w:tcPr>
            <w:tcW w:w="1530" w:type="dxa"/>
            <w:tcBorders>
              <w:top w:val="outset" w:color="auto" w:sz="6" w:space="0"/>
              <w:left w:val="outset" w:color="auto" w:sz="6" w:space="0"/>
              <w:bottom w:val="outset" w:color="auto" w:sz="6" w:space="0"/>
              <w:right w:val="outset" w:color="auto" w:sz="6" w:space="0"/>
            </w:tcBorders>
            <w:shd w:val="clear" w:color="auto" w:fill="44546A" w:themeFill="text2"/>
          </w:tcPr>
          <w:p>
            <w:pPr>
              <w:spacing w:before="100" w:beforeAutospacing="1" w:after="100" w:afterAutospacing="1"/>
              <w:rPr>
                <w:rFonts w:ascii="Candara" w:hAnsi="Candara" w:cs="Times New Roman"/>
                <w:bCs/>
                <w:color w:val="FFFFFF" w:themeColor="background1"/>
                <w:sz w:val="20"/>
                <w:szCs w:val="20"/>
                <w14:textFill>
                  <w14:solidFill>
                    <w14:schemeClr w14:val="bg1"/>
                  </w14:solidFill>
                </w14:textFill>
              </w:rPr>
            </w:pPr>
            <w:r>
              <w:rPr>
                <w:rFonts w:ascii="Candara" w:hAnsi="Candara" w:cs="Times New Roman"/>
                <w:bCs/>
                <w:color w:val="FFFFFF" w:themeColor="background1"/>
                <w:sz w:val="20"/>
                <w:szCs w:val="20"/>
                <w14:textFill>
                  <w14:solidFill>
                    <w14:schemeClr w14:val="bg1"/>
                  </w14:solidFill>
                </w14:textFill>
              </w:rPr>
              <w:t>Final Exam</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02" w:type="dxa"/>
            <w:tcBorders>
              <w:top w:val="outset" w:color="auto" w:sz="6" w:space="0"/>
              <w:left w:val="outset" w:color="auto" w:sz="6" w:space="0"/>
              <w:bottom w:val="outset" w:color="auto" w:sz="6" w:space="0"/>
              <w:right w:val="outset" w:color="auto" w:sz="6" w:space="0"/>
            </w:tcBorders>
          </w:tcPr>
          <w:p>
            <w:pPr>
              <w:spacing w:before="100" w:beforeAutospacing="1" w:after="100" w:afterAutospacing="1"/>
              <w:rPr>
                <w:rFonts w:ascii="Candara" w:hAnsi="Candara" w:cs="Times New Roman"/>
                <w:sz w:val="20"/>
                <w:szCs w:val="20"/>
              </w:rPr>
            </w:pPr>
            <w:r>
              <w:rPr>
                <w:rFonts w:ascii="Candara" w:hAnsi="Candara" w:cs="Times New Roman"/>
                <w:sz w:val="20"/>
                <w:szCs w:val="20"/>
              </w:rPr>
              <w:t>30 points</w:t>
            </w:r>
          </w:p>
        </w:tc>
        <w:tc>
          <w:tcPr>
            <w:tcW w:w="4410" w:type="dxa"/>
            <w:tcBorders>
              <w:top w:val="outset" w:color="auto" w:sz="6" w:space="0"/>
              <w:left w:val="outset" w:color="auto" w:sz="6" w:space="0"/>
              <w:bottom w:val="outset" w:color="auto" w:sz="6" w:space="0"/>
              <w:right w:val="outset" w:color="auto" w:sz="6" w:space="0"/>
            </w:tcBorders>
          </w:tcPr>
          <w:p>
            <w:pPr>
              <w:spacing w:before="100" w:beforeAutospacing="1" w:after="100" w:afterAutospacing="1"/>
              <w:rPr>
                <w:rFonts w:ascii="Candara" w:hAnsi="Candara" w:cs="Times New Roman"/>
                <w:sz w:val="20"/>
                <w:szCs w:val="20"/>
              </w:rPr>
            </w:pPr>
            <w:r>
              <w:rPr>
                <w:rFonts w:ascii="Candara" w:hAnsi="Candara" w:cs="Times New Roman"/>
                <w:sz w:val="20"/>
                <w:szCs w:val="20"/>
              </w:rPr>
              <w:t>30 points</w:t>
            </w:r>
          </w:p>
        </w:tc>
        <w:tc>
          <w:tcPr>
            <w:tcW w:w="1530" w:type="dxa"/>
            <w:tcBorders>
              <w:top w:val="outset" w:color="auto" w:sz="6" w:space="0"/>
              <w:left w:val="outset" w:color="auto" w:sz="6" w:space="0"/>
              <w:bottom w:val="outset" w:color="auto" w:sz="6" w:space="0"/>
              <w:right w:val="outset" w:color="auto" w:sz="6" w:space="0"/>
            </w:tcBorders>
          </w:tcPr>
          <w:p>
            <w:pPr>
              <w:spacing w:before="100" w:beforeAutospacing="1" w:after="100" w:afterAutospacing="1"/>
              <w:rPr>
                <w:rFonts w:ascii="Candara" w:hAnsi="Candara" w:cs="Times New Roman"/>
                <w:sz w:val="20"/>
                <w:szCs w:val="20"/>
              </w:rPr>
            </w:pPr>
            <w:r>
              <w:rPr>
                <w:rFonts w:ascii="Candara" w:hAnsi="Candara" w:cs="Times New Roman"/>
                <w:sz w:val="20"/>
                <w:szCs w:val="20"/>
              </w:rPr>
              <w:t>40 points</w:t>
            </w:r>
          </w:p>
        </w:tc>
      </w:tr>
    </w:tbl>
    <w:p>
      <w:pPr>
        <w:spacing w:before="100" w:beforeAutospacing="1" w:after="100" w:afterAutospacing="1"/>
        <w:rPr>
          <w:rFonts w:ascii="Candara" w:hAnsi="Candara" w:cs="Times New Roman"/>
          <w:b/>
        </w:rPr>
      </w:pPr>
      <w:r>
        <w:rPr>
          <w:rFonts w:ascii="Candara" w:hAnsi="Candara" w:cs="Times New Roman"/>
          <w:b/>
        </w:rPr>
        <w:t>The following rubric serves as the point distribution for the calculation of the final letter grade.</w:t>
      </w:r>
    </w:p>
    <w:tbl>
      <w:tblPr>
        <w:tblStyle w:val="10"/>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920"/>
        <w:gridCol w:w="1920"/>
        <w:gridCol w:w="1920"/>
        <w:gridCol w:w="192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blCellSpacing w:w="0" w:type="dxa"/>
        </w:trPr>
        <w:tc>
          <w:tcPr>
            <w:tcW w:w="1920" w:type="dxa"/>
            <w:tcBorders>
              <w:top w:val="outset" w:color="auto" w:sz="6" w:space="0"/>
              <w:left w:val="outset" w:color="auto" w:sz="6" w:space="0"/>
              <w:bottom w:val="outset" w:color="auto" w:sz="6" w:space="0"/>
              <w:right w:val="outset" w:color="auto" w:sz="6" w:space="0"/>
            </w:tcBorders>
            <w:shd w:val="clear" w:color="auto" w:fill="44546A" w:themeFill="text2"/>
          </w:tcPr>
          <w:p>
            <w:pPr>
              <w:spacing w:before="100" w:beforeAutospacing="1" w:after="100" w:afterAutospacing="1"/>
              <w:rPr>
                <w:rFonts w:ascii="Candara" w:hAnsi="Candara" w:cs="Times New Roman"/>
                <w:color w:val="FFFFFF" w:themeColor="background1"/>
                <w:sz w:val="20"/>
                <w:szCs w:val="20"/>
                <w14:textFill>
                  <w14:solidFill>
                    <w14:schemeClr w14:val="bg1"/>
                  </w14:solidFill>
                </w14:textFill>
              </w:rPr>
            </w:pPr>
            <w:r>
              <w:rPr>
                <w:rFonts w:ascii="Candara" w:hAnsi="Candara" w:cs="Times New Roman"/>
                <w:bCs/>
                <w:color w:val="FFFFFF" w:themeColor="background1"/>
                <w:sz w:val="20"/>
                <w:szCs w:val="20"/>
                <w14:textFill>
                  <w14:solidFill>
                    <w14:schemeClr w14:val="bg1"/>
                  </w14:solidFill>
                </w14:textFill>
              </w:rPr>
              <w:t>100-92 points</w:t>
            </w:r>
          </w:p>
        </w:tc>
        <w:tc>
          <w:tcPr>
            <w:tcW w:w="1920" w:type="dxa"/>
            <w:tcBorders>
              <w:top w:val="outset" w:color="auto" w:sz="6" w:space="0"/>
              <w:left w:val="outset" w:color="auto" w:sz="6" w:space="0"/>
              <w:bottom w:val="outset" w:color="auto" w:sz="6" w:space="0"/>
              <w:right w:val="outset" w:color="auto" w:sz="6" w:space="0"/>
            </w:tcBorders>
            <w:shd w:val="clear" w:color="auto" w:fill="44546A" w:themeFill="text2"/>
          </w:tcPr>
          <w:p>
            <w:pPr>
              <w:spacing w:before="100" w:beforeAutospacing="1" w:after="100" w:afterAutospacing="1"/>
              <w:rPr>
                <w:rFonts w:ascii="Candara" w:hAnsi="Candara" w:cs="Times New Roman"/>
                <w:color w:val="FFFFFF" w:themeColor="background1"/>
                <w:sz w:val="20"/>
                <w:szCs w:val="20"/>
                <w14:textFill>
                  <w14:solidFill>
                    <w14:schemeClr w14:val="bg1"/>
                  </w14:solidFill>
                </w14:textFill>
              </w:rPr>
            </w:pPr>
            <w:r>
              <w:rPr>
                <w:rFonts w:ascii="Candara" w:hAnsi="Candara" w:cs="Times New Roman"/>
                <w:bCs/>
                <w:color w:val="FFFFFF" w:themeColor="background1"/>
                <w:sz w:val="20"/>
                <w:szCs w:val="20"/>
                <w14:textFill>
                  <w14:solidFill>
                    <w14:schemeClr w14:val="bg1"/>
                  </w14:solidFill>
                </w14:textFill>
              </w:rPr>
              <w:t>91-80 points</w:t>
            </w:r>
          </w:p>
        </w:tc>
        <w:tc>
          <w:tcPr>
            <w:tcW w:w="1920" w:type="dxa"/>
            <w:tcBorders>
              <w:top w:val="outset" w:color="auto" w:sz="6" w:space="0"/>
              <w:left w:val="outset" w:color="auto" w:sz="6" w:space="0"/>
              <w:bottom w:val="outset" w:color="auto" w:sz="6" w:space="0"/>
              <w:right w:val="outset" w:color="auto" w:sz="6" w:space="0"/>
            </w:tcBorders>
            <w:shd w:val="clear" w:color="auto" w:fill="44546A" w:themeFill="text2"/>
          </w:tcPr>
          <w:p>
            <w:pPr>
              <w:spacing w:before="100" w:beforeAutospacing="1" w:after="100" w:afterAutospacing="1"/>
              <w:rPr>
                <w:rFonts w:ascii="Candara" w:hAnsi="Candara" w:cs="Times New Roman"/>
                <w:color w:val="FFFFFF" w:themeColor="background1"/>
                <w:sz w:val="20"/>
                <w:szCs w:val="20"/>
                <w14:textFill>
                  <w14:solidFill>
                    <w14:schemeClr w14:val="bg1"/>
                  </w14:solidFill>
                </w14:textFill>
              </w:rPr>
            </w:pPr>
            <w:r>
              <w:rPr>
                <w:rFonts w:ascii="Candara" w:hAnsi="Candara" w:cs="Times New Roman"/>
                <w:bCs/>
                <w:color w:val="FFFFFF" w:themeColor="background1"/>
                <w:sz w:val="20"/>
                <w:szCs w:val="20"/>
                <w14:textFill>
                  <w14:solidFill>
                    <w14:schemeClr w14:val="bg1"/>
                  </w14:solidFill>
                </w14:textFill>
              </w:rPr>
              <w:t>79-70 points</w:t>
            </w:r>
          </w:p>
        </w:tc>
        <w:tc>
          <w:tcPr>
            <w:tcW w:w="1920" w:type="dxa"/>
            <w:tcBorders>
              <w:top w:val="outset" w:color="auto" w:sz="6" w:space="0"/>
              <w:left w:val="outset" w:color="auto" w:sz="6" w:space="0"/>
              <w:bottom w:val="outset" w:color="auto" w:sz="6" w:space="0"/>
              <w:right w:val="outset" w:color="auto" w:sz="6" w:space="0"/>
            </w:tcBorders>
            <w:shd w:val="clear" w:color="auto" w:fill="44546A" w:themeFill="text2"/>
          </w:tcPr>
          <w:p>
            <w:pPr>
              <w:spacing w:before="100" w:beforeAutospacing="1" w:after="100" w:afterAutospacing="1"/>
              <w:rPr>
                <w:rFonts w:ascii="Candara" w:hAnsi="Candara" w:cs="Times New Roman"/>
                <w:color w:val="FFFFFF" w:themeColor="background1"/>
                <w:sz w:val="20"/>
                <w:szCs w:val="20"/>
                <w14:textFill>
                  <w14:solidFill>
                    <w14:schemeClr w14:val="bg1"/>
                  </w14:solidFill>
                </w14:textFill>
              </w:rPr>
            </w:pPr>
            <w:r>
              <w:rPr>
                <w:rFonts w:ascii="Candara" w:hAnsi="Candara" w:cs="Times New Roman"/>
                <w:bCs/>
                <w:color w:val="FFFFFF" w:themeColor="background1"/>
                <w:sz w:val="20"/>
                <w:szCs w:val="20"/>
                <w14:textFill>
                  <w14:solidFill>
                    <w14:schemeClr w14:val="bg1"/>
                  </w14:solidFill>
                </w14:textFill>
              </w:rPr>
              <w:t>69-0 points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920" w:type="dxa"/>
            <w:tcBorders>
              <w:top w:val="outset" w:color="auto" w:sz="6" w:space="0"/>
              <w:left w:val="outset" w:color="auto" w:sz="6" w:space="0"/>
              <w:bottom w:val="outset" w:color="auto" w:sz="6" w:space="0"/>
              <w:right w:val="outset" w:color="auto" w:sz="6" w:space="0"/>
            </w:tcBorders>
          </w:tcPr>
          <w:p>
            <w:pPr>
              <w:spacing w:before="100" w:beforeAutospacing="1" w:after="100" w:afterAutospacing="1"/>
              <w:rPr>
                <w:rFonts w:ascii="Candara" w:hAnsi="Candara" w:cs="Times New Roman"/>
                <w:sz w:val="20"/>
                <w:szCs w:val="20"/>
              </w:rPr>
            </w:pPr>
            <w:r>
              <w:rPr>
                <w:rFonts w:ascii="Candara" w:hAnsi="Candara" w:cs="Times New Roman"/>
                <w:sz w:val="20"/>
                <w:szCs w:val="20"/>
              </w:rPr>
              <w:t>A</w:t>
            </w:r>
          </w:p>
        </w:tc>
        <w:tc>
          <w:tcPr>
            <w:tcW w:w="1920" w:type="dxa"/>
            <w:tcBorders>
              <w:top w:val="outset" w:color="auto" w:sz="6" w:space="0"/>
              <w:left w:val="outset" w:color="auto" w:sz="6" w:space="0"/>
              <w:bottom w:val="outset" w:color="auto" w:sz="6" w:space="0"/>
              <w:right w:val="outset" w:color="auto" w:sz="6" w:space="0"/>
            </w:tcBorders>
          </w:tcPr>
          <w:p>
            <w:pPr>
              <w:spacing w:before="100" w:beforeAutospacing="1" w:after="100" w:afterAutospacing="1"/>
              <w:rPr>
                <w:rFonts w:ascii="Candara" w:hAnsi="Candara" w:cs="Times New Roman"/>
                <w:sz w:val="20"/>
                <w:szCs w:val="20"/>
              </w:rPr>
            </w:pPr>
            <w:r>
              <w:rPr>
                <w:rFonts w:ascii="Candara" w:hAnsi="Candara" w:cs="Times New Roman"/>
                <w:sz w:val="20"/>
                <w:szCs w:val="20"/>
              </w:rPr>
              <w:t>B</w:t>
            </w:r>
          </w:p>
        </w:tc>
        <w:tc>
          <w:tcPr>
            <w:tcW w:w="1920" w:type="dxa"/>
            <w:tcBorders>
              <w:top w:val="outset" w:color="auto" w:sz="6" w:space="0"/>
              <w:left w:val="outset" w:color="auto" w:sz="6" w:space="0"/>
              <w:bottom w:val="outset" w:color="auto" w:sz="6" w:space="0"/>
              <w:right w:val="outset" w:color="auto" w:sz="6" w:space="0"/>
            </w:tcBorders>
          </w:tcPr>
          <w:p>
            <w:pPr>
              <w:spacing w:before="100" w:beforeAutospacing="1" w:after="100" w:afterAutospacing="1"/>
              <w:rPr>
                <w:rFonts w:ascii="Candara" w:hAnsi="Candara" w:cs="Times New Roman"/>
                <w:sz w:val="20"/>
                <w:szCs w:val="20"/>
              </w:rPr>
            </w:pPr>
            <w:r>
              <w:rPr>
                <w:rFonts w:ascii="Candara" w:hAnsi="Candara" w:cs="Times New Roman"/>
                <w:sz w:val="20"/>
                <w:szCs w:val="20"/>
              </w:rPr>
              <w:t>C</w:t>
            </w:r>
          </w:p>
        </w:tc>
        <w:tc>
          <w:tcPr>
            <w:tcW w:w="1920" w:type="dxa"/>
            <w:tcBorders>
              <w:top w:val="outset" w:color="auto" w:sz="6" w:space="0"/>
              <w:left w:val="outset" w:color="auto" w:sz="6" w:space="0"/>
              <w:bottom w:val="outset" w:color="auto" w:sz="6" w:space="0"/>
              <w:right w:val="outset" w:color="auto" w:sz="6" w:space="0"/>
            </w:tcBorders>
          </w:tcPr>
          <w:p>
            <w:pPr>
              <w:spacing w:before="100" w:beforeAutospacing="1" w:after="100" w:afterAutospacing="1"/>
              <w:rPr>
                <w:rFonts w:ascii="Candara" w:hAnsi="Candara" w:cs="Times New Roman"/>
                <w:sz w:val="20"/>
                <w:szCs w:val="20"/>
              </w:rPr>
            </w:pPr>
            <w:r>
              <w:rPr>
                <w:rFonts w:ascii="Candara" w:hAnsi="Candara" w:cs="Times New Roman"/>
                <w:sz w:val="20"/>
                <w:szCs w:val="20"/>
              </w:rPr>
              <w:t>F</w:t>
            </w:r>
          </w:p>
        </w:tc>
      </w:tr>
    </w:tbl>
    <w:p>
      <w:pPr>
        <w:widowControl w:val="0"/>
        <w:autoSpaceDE w:val="0"/>
        <w:autoSpaceDN w:val="0"/>
        <w:adjustRightInd w:val="0"/>
        <w:spacing w:after="240"/>
        <w:rPr>
          <w:rFonts w:ascii="Candara" w:hAnsi="Candara" w:cs="Times New Roman"/>
          <w:b/>
          <w:sz w:val="28"/>
          <w:szCs w:val="28"/>
        </w:rPr>
      </w:pPr>
    </w:p>
    <w:p>
      <w:pPr>
        <w:widowControl w:val="0"/>
        <w:autoSpaceDE w:val="0"/>
        <w:autoSpaceDN w:val="0"/>
        <w:adjustRightInd w:val="0"/>
        <w:spacing w:after="240"/>
        <w:rPr>
          <w:rFonts w:ascii="Candara" w:hAnsi="Candara" w:cs="Times New Roman"/>
          <w:b/>
          <w:sz w:val="28"/>
          <w:szCs w:val="28"/>
        </w:rPr>
      </w:pPr>
      <w:r>
        <w:rPr>
          <w:rFonts w:ascii="Candara" w:hAnsi="Candara" w:cs="Times New Roman"/>
          <w:b/>
          <w:sz w:val="28"/>
          <w:szCs w:val="28"/>
        </w:rPr>
        <w:t>Academic Integrity</w:t>
      </w:r>
    </w:p>
    <w:p>
      <w:pPr>
        <w:widowControl w:val="0"/>
        <w:autoSpaceDE w:val="0"/>
        <w:autoSpaceDN w:val="0"/>
        <w:adjustRightInd w:val="0"/>
        <w:spacing w:after="240"/>
        <w:rPr>
          <w:rFonts w:ascii="Candara" w:hAnsi="Candara" w:cs="Times New Roman"/>
          <w:b/>
          <w:sz w:val="28"/>
          <w:szCs w:val="28"/>
        </w:rPr>
      </w:pPr>
      <w:r>
        <w:rPr>
          <w:rFonts w:ascii="Candara" w:hAnsi="Candara" w:cs="Times New Roman"/>
        </w:rPr>
        <w:t>At George Mason University, Academic Integrity is demonstrated in our work, community, the classroom and research. We maintain this commitment to high academic standards through Mason’s Honor Code. It is an agreement made by all members of our community to not “cheat, steal, plagiarize, or lie in matters related to academic work.” Students sign an agreement to adhere to the Honor Code on their application for admission to Mason and are responsible for being aware of the most current version of the code.  Having an Honor Code allows us to ensure that every student does his or her own work.</w:t>
      </w:r>
    </w:p>
    <w:p>
      <w:pPr>
        <w:widowControl w:val="0"/>
        <w:autoSpaceDE w:val="0"/>
        <w:autoSpaceDN w:val="0"/>
        <w:adjustRightInd w:val="0"/>
        <w:spacing w:after="240"/>
        <w:rPr>
          <w:rFonts w:ascii="Times New Roman" w:hAnsi="Times New Roman" w:cs="Times New Roman"/>
          <w:b/>
          <w:sz w:val="32"/>
          <w:szCs w:val="32"/>
        </w:rPr>
      </w:pPr>
      <w:r>
        <w:rPr>
          <w:rFonts w:ascii="Times New Roman" w:hAnsi="Times New Roman" w:cs="Times New Roman"/>
          <w:b/>
          <w:sz w:val="32"/>
          <w:szCs w:val="32"/>
        </w:rPr>
        <w:t>Course Schedule</w:t>
      </w:r>
    </w:p>
    <w:tbl>
      <w:tblPr>
        <w:tblStyle w:val="12"/>
        <w:tblpPr w:leftFromText="187" w:rightFromText="187" w:vertAnchor="text" w:horzAnchor="page" w:tblpX="1110" w:tblpY="1"/>
        <w:tblW w:w="10070" w:type="dxa"/>
        <w:tblInd w:w="0" w:type="dxa"/>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1098"/>
        <w:gridCol w:w="2520"/>
        <w:gridCol w:w="6452"/>
      </w:tblGrid>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rPr>
          <w:trHeight w:val="367" w:hRule="atLeast"/>
        </w:trPr>
        <w:tc>
          <w:tcPr>
            <w:tcW w:w="1098" w:type="dxa"/>
            <w:tcBorders>
              <w:bottom w:val="single" w:color="auto" w:sz="4" w:space="0"/>
            </w:tcBorders>
            <w:shd w:val="clear" w:color="auto" w:fill="44546A" w:themeFill="text2"/>
          </w:tcPr>
          <w:p>
            <w:pPr>
              <w:spacing w:before="0" w:after="0" w:line="240" w:lineRule="auto"/>
              <w:rPr>
                <w:rFonts w:ascii="Candara" w:hAnsi="Candara" w:cs="Times New Roman"/>
                <w:b/>
                <w:bCs/>
                <w:color w:val="FFFFFF" w:themeColor="background1"/>
                <w:sz w:val="20"/>
                <w:szCs w:val="20"/>
                <w14:textFill>
                  <w14:solidFill>
                    <w14:schemeClr w14:val="bg1"/>
                  </w14:solidFill>
                </w14:textFill>
              </w:rPr>
            </w:pPr>
            <w:r>
              <w:rPr>
                <w:rFonts w:ascii="Candara" w:hAnsi="Candara" w:cs="Times New Roman"/>
                <w:b/>
                <w:bCs/>
                <w:color w:val="FFFFFF" w:themeColor="background1"/>
                <w:sz w:val="20"/>
                <w:szCs w:val="20"/>
                <w14:textFill>
                  <w14:solidFill>
                    <w14:schemeClr w14:val="bg1"/>
                  </w14:solidFill>
                </w14:textFill>
              </w:rPr>
              <w:t>Session</w:t>
            </w:r>
          </w:p>
        </w:tc>
        <w:tc>
          <w:tcPr>
            <w:tcW w:w="2520" w:type="dxa"/>
            <w:tcBorders>
              <w:bottom w:val="single" w:color="auto" w:sz="4" w:space="0"/>
            </w:tcBorders>
            <w:shd w:val="clear" w:color="auto" w:fill="44546A" w:themeFill="text2"/>
          </w:tcPr>
          <w:p>
            <w:pPr>
              <w:spacing w:before="0" w:after="0" w:line="240" w:lineRule="auto"/>
              <w:rPr>
                <w:rFonts w:ascii="Candara" w:hAnsi="Candara" w:cs="Times New Roman"/>
                <w:b/>
                <w:bCs/>
                <w:color w:val="FFFFFF" w:themeColor="background1"/>
                <w:sz w:val="20"/>
                <w:szCs w:val="20"/>
                <w14:textFill>
                  <w14:solidFill>
                    <w14:schemeClr w14:val="bg1"/>
                  </w14:solidFill>
                </w14:textFill>
              </w:rPr>
            </w:pPr>
            <w:r>
              <w:rPr>
                <w:rFonts w:ascii="Candara" w:hAnsi="Candara" w:cs="Times New Roman"/>
                <w:b/>
                <w:bCs/>
                <w:color w:val="FFFFFF" w:themeColor="background1"/>
                <w:sz w:val="20"/>
                <w:szCs w:val="20"/>
                <w14:textFill>
                  <w14:solidFill>
                    <w14:schemeClr w14:val="bg1"/>
                  </w14:solidFill>
                </w14:textFill>
              </w:rPr>
              <w:t>Theme</w:t>
            </w:r>
          </w:p>
        </w:tc>
        <w:tc>
          <w:tcPr>
            <w:tcW w:w="6452" w:type="dxa"/>
            <w:tcBorders>
              <w:bottom w:val="single" w:color="auto" w:sz="4" w:space="0"/>
            </w:tcBorders>
            <w:shd w:val="clear" w:color="auto" w:fill="44546A" w:themeFill="text2"/>
          </w:tcPr>
          <w:p>
            <w:pPr>
              <w:spacing w:before="0" w:after="0" w:line="240" w:lineRule="auto"/>
              <w:rPr>
                <w:rFonts w:ascii="Candara" w:hAnsi="Candara" w:cs="Times New Roman"/>
                <w:b/>
                <w:bCs/>
                <w:color w:val="FFFFFF" w:themeColor="background1"/>
                <w:sz w:val="20"/>
                <w:szCs w:val="20"/>
                <w14:textFill>
                  <w14:solidFill>
                    <w14:schemeClr w14:val="bg1"/>
                  </w14:solidFill>
                </w14:textFill>
              </w:rPr>
            </w:pPr>
            <w:r>
              <w:rPr>
                <w:rFonts w:ascii="Candara" w:hAnsi="Candara" w:cs="Times New Roman"/>
                <w:b/>
                <w:bCs/>
                <w:color w:val="FFFFFF" w:themeColor="background1"/>
                <w:sz w:val="20"/>
                <w:szCs w:val="20"/>
                <w14:textFill>
                  <w14:solidFill>
                    <w14:schemeClr w14:val="bg1"/>
                  </w14:solidFill>
                </w14:textFill>
              </w:rPr>
              <w:t>Readings</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19</w:t>
            </w:r>
            <w:r>
              <w:rPr>
                <w:rFonts w:ascii="Candara" w:hAnsi="Candara" w:cs="Times New Roman"/>
                <w:b/>
                <w:bCs/>
                <w:sz w:val="20"/>
                <w:szCs w:val="20"/>
              </w:rPr>
              <w:t xml:space="preserve"> June</w:t>
            </w:r>
          </w:p>
          <w:p>
            <w:pPr>
              <w:rPr>
                <w:rFonts w:ascii="Candara" w:hAnsi="Candara" w:cs="Times New Roman"/>
                <w:b/>
                <w:bCs/>
                <w:sz w:val="20"/>
                <w:szCs w:val="20"/>
              </w:rPr>
            </w:pP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The Political Economy of International Trade</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ascii="Candara" w:hAnsi="Candara" w:cs="Times New Roman"/>
                <w:sz w:val="20"/>
                <w:szCs w:val="20"/>
              </w:rPr>
              <w:t>Milner, Helen V. "The political economy of international trade." Annual review of political science 2, no. 1 (1999): 91-114.</w:t>
            </w:r>
          </w:p>
          <w:p>
            <w:pPr>
              <w:rPr>
                <w:rFonts w:ascii="Candara" w:hAnsi="Candara" w:cs="Times New Roman"/>
                <w:b/>
                <w:bCs/>
                <w:sz w:val="20"/>
                <w:szCs w:val="20"/>
              </w:rPr>
            </w:pPr>
          </w:p>
          <w:p>
            <w:pPr>
              <w:rPr>
                <w:rFonts w:ascii="Candara" w:hAnsi="Candara" w:cs="Times New Roman"/>
                <w:sz w:val="20"/>
                <w:szCs w:val="20"/>
              </w:rPr>
            </w:pPr>
            <w:r>
              <w:fldChar w:fldCharType="begin"/>
            </w:r>
            <w:r>
              <w:instrText xml:space="preserve"> HYPERLINK "https://www-cambridge-org.mutex.gmu.edu/core/journals/world-trade-review/article/20th-anniversary-issue/A543BC1F24952F948AE564F89AA7F292" </w:instrText>
            </w:r>
            <w:r>
              <w:fldChar w:fldCharType="separate"/>
            </w:r>
            <w:r>
              <w:rPr>
                <w:rStyle w:val="14"/>
                <w:rFonts w:ascii="Candara" w:hAnsi="Candara" w:cs="Times New Roman"/>
                <w:sz w:val="20"/>
                <w:szCs w:val="20"/>
              </w:rPr>
              <w:t>World Trade Review: Introduction</w:t>
            </w:r>
            <w:r>
              <w:rPr>
                <w:rStyle w:val="14"/>
                <w:rFonts w:ascii="Candara" w:hAnsi="Candara" w:cs="Times New Roman"/>
                <w:sz w:val="20"/>
                <w:szCs w:val="20"/>
              </w:rPr>
              <w:fldChar w:fldCharType="end"/>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20</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The Global Economy</w:t>
            </w:r>
          </w:p>
          <w:p>
            <w:pPr>
              <w:rPr>
                <w:rFonts w:ascii="Candara" w:hAnsi="Candara" w:cs="Times New Roman"/>
                <w:b/>
                <w:sz w:val="20"/>
                <w:szCs w:val="20"/>
              </w:rPr>
            </w:pP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UNCTAD. Tapering in a Time of Conflict. 2022.</w:t>
            </w:r>
          </w:p>
          <w:p>
            <w:pPr>
              <w:rPr>
                <w:rFonts w:ascii="Candara" w:hAnsi="Candara" w:cs="Times New Roman"/>
                <w:sz w:val="20"/>
                <w:szCs w:val="20"/>
              </w:rPr>
            </w:pPr>
            <w:r>
              <w:fldChar w:fldCharType="begin"/>
            </w:r>
            <w:r>
              <w:instrText xml:space="preserve"> HYPERLINK "https://unctad.org/webflyer/tapering-time-conflict-trade-and-development-report-update-march-2022" </w:instrText>
            </w:r>
            <w:r>
              <w:fldChar w:fldCharType="separate"/>
            </w:r>
            <w:r>
              <w:rPr>
                <w:rStyle w:val="14"/>
                <w:rFonts w:ascii="Candara" w:hAnsi="Candara" w:cs="Times New Roman"/>
                <w:sz w:val="20"/>
                <w:szCs w:val="20"/>
              </w:rPr>
              <w:t>https://unctad.org/webflyer/tapering-time-conflict-trade-and-development-report-update-march-2022</w:t>
            </w:r>
            <w:r>
              <w:rPr>
                <w:rStyle w:val="14"/>
                <w:rFonts w:ascii="Candara" w:hAnsi="Candara" w:cs="Times New Roman"/>
                <w:sz w:val="20"/>
                <w:szCs w:val="20"/>
              </w:rPr>
              <w:fldChar w:fldCharType="end"/>
            </w:r>
            <w:r>
              <w:rPr>
                <w:rFonts w:ascii="Candara" w:hAnsi="Candara" w:cs="Times New Roman"/>
                <w:sz w:val="20"/>
                <w:szCs w:val="20"/>
              </w:rPr>
              <w:t xml:space="preserve"> </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ascii="Candara" w:hAnsi="Candara" w:cs="Times New Roman"/>
                <w:b/>
                <w:bCs/>
                <w:sz w:val="20"/>
                <w:szCs w:val="20"/>
              </w:rPr>
              <w:t>2</w:t>
            </w:r>
            <w:r>
              <w:rPr>
                <w:rFonts w:hint="eastAsia" w:ascii="Candara" w:hAnsi="Candara" w:cs="Times New Roman"/>
                <w:b/>
                <w:bCs/>
                <w:sz w:val="20"/>
                <w:szCs w:val="20"/>
                <w:lang w:val="en-US" w:eastAsia="zh-CN"/>
              </w:rPr>
              <w:t>1</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The State and Trade I</w:t>
            </w:r>
          </w:p>
          <w:p>
            <w:pPr>
              <w:rPr>
                <w:rFonts w:ascii="Candara" w:hAnsi="Candara" w:cs="Times New Roman"/>
                <w:b/>
                <w:sz w:val="20"/>
                <w:szCs w:val="20"/>
              </w:rPr>
            </w:pPr>
          </w:p>
          <w:p>
            <w:pPr>
              <w:rPr>
                <w:rFonts w:ascii="Candara" w:hAnsi="Candara" w:cs="Times New Roman"/>
                <w:b/>
                <w:sz w:val="20"/>
                <w:szCs w:val="20"/>
              </w:rPr>
            </w:pP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 xml:space="preserve">Krasner, Stephen D. </w:t>
            </w:r>
          </w:p>
          <w:p>
            <w:pPr>
              <w:rPr>
                <w:rFonts w:ascii="Candara" w:hAnsi="Candara" w:cs="Times New Roman"/>
                <w:b/>
                <w:bCs/>
                <w:sz w:val="20"/>
                <w:szCs w:val="20"/>
              </w:rPr>
            </w:pPr>
            <w:r>
              <w:rPr>
                <w:rFonts w:ascii="Candara" w:hAnsi="Candara" w:cs="Times New Roman"/>
                <w:sz w:val="20"/>
                <w:szCs w:val="20"/>
              </w:rPr>
              <w:t xml:space="preserve">State Power and the Structure of International Trade.  World Politics. </w:t>
            </w:r>
          </w:p>
          <w:p>
            <w:pPr>
              <w:rPr>
                <w:rFonts w:ascii="Candara" w:hAnsi="Candara" w:cs="Times New Roman"/>
                <w:sz w:val="20"/>
                <w:szCs w:val="20"/>
              </w:rPr>
            </w:pPr>
            <w:r>
              <w:rPr>
                <w:rFonts w:ascii="Candara" w:hAnsi="Candara" w:cs="Times New Roman"/>
                <w:sz w:val="20"/>
                <w:szCs w:val="20"/>
              </w:rPr>
              <w:t>Vol. 28, No. 3. (April 1976:317-347).</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ascii="Candara" w:hAnsi="Candara" w:cs="Times New Roman"/>
                <w:b/>
                <w:bCs/>
                <w:sz w:val="20"/>
                <w:szCs w:val="20"/>
              </w:rPr>
              <w:t>2</w:t>
            </w:r>
            <w:r>
              <w:rPr>
                <w:rFonts w:hint="eastAsia" w:ascii="Candara" w:hAnsi="Candara" w:cs="Times New Roman"/>
                <w:b/>
                <w:bCs/>
                <w:sz w:val="20"/>
                <w:szCs w:val="20"/>
                <w:lang w:val="en-US" w:eastAsia="zh-CN"/>
              </w:rPr>
              <w:t>2</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The State and Trade II</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 xml:space="preserve">Ruggie, John Gerard. </w:t>
            </w:r>
          </w:p>
          <w:p>
            <w:pPr>
              <w:rPr>
                <w:rFonts w:ascii="Candara" w:hAnsi="Candara" w:cs="Times New Roman"/>
                <w:sz w:val="20"/>
                <w:szCs w:val="20"/>
              </w:rPr>
            </w:pPr>
            <w:r>
              <w:rPr>
                <w:rFonts w:ascii="Candara" w:hAnsi="Candara" w:cs="Times New Roman"/>
                <w:sz w:val="20"/>
                <w:szCs w:val="20"/>
              </w:rPr>
              <w:t>International Regimes, Transactions, and Change: Embedded Liberalism in the Postwar Economic Order. International Organization. Vol. 36, Issue 2. Spring, 1982: 379-415.</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23</w:t>
            </w:r>
            <w:r>
              <w:rPr>
                <w:rFonts w:ascii="Candara" w:hAnsi="Candara" w:cs="Times New Roman"/>
                <w:b/>
                <w:bCs/>
                <w:sz w:val="20"/>
                <w:szCs w:val="20"/>
              </w:rPr>
              <w:t xml:space="preserve"> June</w:t>
            </w:r>
          </w:p>
          <w:p>
            <w:pPr>
              <w:rPr>
                <w:rFonts w:ascii="Candara" w:hAnsi="Candara" w:cs="Times New Roman"/>
                <w:b/>
                <w:bCs/>
                <w:sz w:val="20"/>
                <w:szCs w:val="20"/>
              </w:rPr>
            </w:pP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Domestic Politics and Trade</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 xml:space="preserve">Putnam, Robert D. </w:t>
            </w:r>
          </w:p>
          <w:p>
            <w:pPr>
              <w:rPr>
                <w:rFonts w:ascii="Candara" w:hAnsi="Candara" w:cs="Times New Roman"/>
                <w:sz w:val="20"/>
                <w:szCs w:val="20"/>
              </w:rPr>
            </w:pPr>
            <w:r>
              <w:rPr>
                <w:rFonts w:ascii="Candara" w:hAnsi="Candara" w:cs="Times New Roman"/>
                <w:sz w:val="20"/>
                <w:szCs w:val="20"/>
              </w:rPr>
              <w:t xml:space="preserve">Diplomacy and Domestic Politics: the logic of two level games. </w:t>
            </w:r>
          </w:p>
          <w:p>
            <w:pPr>
              <w:rPr>
                <w:rFonts w:ascii="Candara" w:hAnsi="Candara" w:cs="Times New Roman"/>
                <w:sz w:val="20"/>
                <w:szCs w:val="20"/>
              </w:rPr>
            </w:pPr>
            <w:r>
              <w:rPr>
                <w:rFonts w:ascii="Candara" w:hAnsi="Candara" w:cs="Times New Roman"/>
                <w:sz w:val="20"/>
                <w:szCs w:val="20"/>
              </w:rPr>
              <w:t>International Organization. Vol. 42, No.3. Summer, 1988: 427-460.</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23</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Open Session</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bCs/>
                <w:sz w:val="20"/>
                <w:szCs w:val="20"/>
              </w:rPr>
            </w:pPr>
            <w:r>
              <w:rPr>
                <w:rFonts w:ascii="Candara" w:hAnsi="Candara" w:cs="Times New Roman"/>
                <w:bCs/>
                <w:sz w:val="20"/>
                <w:szCs w:val="20"/>
              </w:rPr>
              <w:t>No readings</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26</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Trade Liberalization I</w:t>
            </w:r>
          </w:p>
          <w:p>
            <w:pPr>
              <w:rPr>
                <w:rFonts w:ascii="Candara" w:hAnsi="Candara" w:cs="Times New Roman"/>
                <w:bCs/>
                <w:sz w:val="20"/>
                <w:szCs w:val="20"/>
              </w:rPr>
            </w:pPr>
          </w:p>
          <w:p>
            <w:pPr>
              <w:widowControl w:val="0"/>
              <w:autoSpaceDE w:val="0"/>
              <w:autoSpaceDN w:val="0"/>
              <w:adjustRightInd w:val="0"/>
              <w:spacing w:after="240"/>
              <w:contextualSpacing/>
              <w:rPr>
                <w:rFonts w:ascii="Candara" w:hAnsi="Candara" w:cs="Times New Roman"/>
                <w:bCs/>
                <w:i/>
                <w:sz w:val="20"/>
                <w:szCs w:val="20"/>
              </w:rPr>
            </w:pPr>
            <w:r>
              <w:rPr>
                <w:rFonts w:ascii="Candara" w:hAnsi="Candara" w:cs="Times New Roman"/>
                <w:bCs/>
                <w:color w:val="FF0000"/>
                <w:sz w:val="20"/>
                <w:szCs w:val="20"/>
              </w:rPr>
              <w:t>*</w:t>
            </w:r>
            <w:r>
              <w:rPr>
                <w:rFonts w:ascii="Candara" w:hAnsi="Candara" w:cs="Times New Roman"/>
                <w:bCs/>
                <w:i/>
                <w:color w:val="FF0000"/>
                <w:sz w:val="20"/>
                <w:szCs w:val="20"/>
              </w:rPr>
              <w:t xml:space="preserve"> Global Trade Challenges Essay </w:t>
            </w:r>
            <w:r>
              <w:rPr>
                <w:rFonts w:ascii="Candara" w:hAnsi="Candara" w:cs="Times New Roman"/>
                <w:bCs/>
                <w:color w:val="FF0000"/>
                <w:sz w:val="20"/>
                <w:szCs w:val="20"/>
              </w:rPr>
              <w:t>DUE</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Bhattacharya, Debesh. "GATT and the Emergence of the World Trade Organisation." Sydney Studies in Society and Culture 15 (1997).</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27</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Trade Liberalization II</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Hoekman, Bernard. “Strengthening the Global Trade Architecture for Development: the Post Doha Agenda.” World Trade Review 1, no. 1 (2002): 23–45.</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 xml:space="preserve">28 </w:t>
            </w:r>
            <w:r>
              <w:rPr>
                <w:rFonts w:ascii="Candara" w:hAnsi="Candara" w:cs="Times New Roman"/>
                <w:b/>
                <w:bCs/>
                <w:sz w:val="20"/>
                <w:szCs w:val="20"/>
              </w:rPr>
              <w:t>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Developing countries and the WTO</w:t>
            </w:r>
          </w:p>
          <w:p>
            <w:pPr>
              <w:rPr>
                <w:rFonts w:ascii="Candara" w:hAnsi="Candara" w:cs="Times New Roman"/>
                <w:b/>
                <w:sz w:val="20"/>
                <w:szCs w:val="20"/>
              </w:rPr>
            </w:pP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Hopewell, Kristen. "Different paths to power: The rise of Brazil, India and China at the World Trade Organization." Review of international political economy 22, no. 2 (2015): 311-338.</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 xml:space="preserve">29 </w:t>
            </w:r>
            <w:r>
              <w:rPr>
                <w:rFonts w:ascii="Candara" w:hAnsi="Candara" w:cs="Times New Roman"/>
                <w:b/>
                <w:bCs/>
                <w:sz w:val="20"/>
                <w:szCs w:val="20"/>
              </w:rPr>
              <w:t>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Multilateral Trade Negotiations</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sz w:val="20"/>
                <w:szCs w:val="20"/>
              </w:rPr>
            </w:pPr>
            <w:r>
              <w:rPr>
                <w:rFonts w:ascii="Candara" w:hAnsi="Candara" w:cs="Arial"/>
                <w:color w:val="222222"/>
                <w:sz w:val="20"/>
                <w:szCs w:val="20"/>
                <w:shd w:val="clear" w:color="auto" w:fill="FFFFFF"/>
              </w:rPr>
              <w:t>Singh, J. P. "Development Objectives and Trade Negotiations: Moralistic Foreign Policy or Negotiated Trade Concessions?."</w:t>
            </w:r>
            <w:r>
              <w:rPr>
                <w:rFonts w:hint="eastAsia" w:ascii="Candara" w:hAnsi="Candara" w:cs="Arial"/>
                <w:color w:val="222222"/>
                <w:sz w:val="20"/>
                <w:szCs w:val="20"/>
                <w:shd w:val="clear" w:color="auto" w:fill="FFFFFF"/>
                <w:lang w:eastAsia="zh-CN"/>
              </w:rPr>
              <w:t xml:space="preserve"> </w:t>
            </w:r>
            <w:r>
              <w:rPr>
                <w:rFonts w:ascii="Candara" w:hAnsi="Candara" w:cs="Arial"/>
                <w:i/>
                <w:iCs/>
                <w:color w:val="222222"/>
                <w:sz w:val="20"/>
                <w:szCs w:val="20"/>
                <w:shd w:val="clear" w:color="auto" w:fill="FFFFFF"/>
              </w:rPr>
              <w:t>International Negotiation</w:t>
            </w:r>
            <w:r>
              <w:rPr>
                <w:rFonts w:hint="eastAsia" w:ascii="Candara" w:hAnsi="Candara" w:cs="Arial"/>
                <w:color w:val="222222"/>
                <w:sz w:val="20"/>
                <w:szCs w:val="20"/>
                <w:shd w:val="clear" w:color="auto" w:fill="FFFFFF"/>
                <w:lang w:eastAsia="zh-CN"/>
              </w:rPr>
              <w:t xml:space="preserve"> </w:t>
            </w:r>
            <w:r>
              <w:rPr>
                <w:rFonts w:ascii="Candara" w:hAnsi="Candara" w:cs="Arial"/>
                <w:color w:val="222222"/>
                <w:sz w:val="20"/>
                <w:szCs w:val="20"/>
                <w:shd w:val="clear" w:color="auto" w:fill="FFFFFF"/>
              </w:rPr>
              <w:t>15, no. 3 (2010): 367-389.</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30</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World Trade Organization: Doha Round</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sz w:val="20"/>
                <w:szCs w:val="20"/>
              </w:rPr>
            </w:pPr>
            <w:r>
              <w:rPr>
                <w:rFonts w:ascii="Candara" w:hAnsi="Candara" w:cs="Arial"/>
                <w:color w:val="222222"/>
                <w:sz w:val="20"/>
                <w:szCs w:val="20"/>
                <w:shd w:val="clear" w:color="auto" w:fill="FFFFFF"/>
              </w:rPr>
              <w:t>Gallagher, Kevin P. "Understanding developing country resistance to the Doha Round."</w:t>
            </w:r>
            <w:r>
              <w:rPr>
                <w:rFonts w:hint="eastAsia" w:ascii="Candara" w:hAnsi="Candara" w:cs="Arial"/>
                <w:color w:val="222222"/>
                <w:sz w:val="20"/>
                <w:szCs w:val="20"/>
                <w:shd w:val="clear" w:color="auto" w:fill="FFFFFF"/>
                <w:lang w:eastAsia="zh-CN"/>
              </w:rPr>
              <w:t xml:space="preserve"> </w:t>
            </w:r>
            <w:r>
              <w:rPr>
                <w:rFonts w:ascii="Candara" w:hAnsi="Candara" w:cs="Arial"/>
                <w:i/>
                <w:iCs/>
                <w:color w:val="222222"/>
                <w:sz w:val="20"/>
                <w:szCs w:val="20"/>
                <w:shd w:val="clear" w:color="auto" w:fill="FFFFFF"/>
              </w:rPr>
              <w:t>Review of international political economy</w:t>
            </w:r>
            <w:r>
              <w:rPr>
                <w:rFonts w:hint="eastAsia" w:ascii="Candara" w:hAnsi="Candara" w:cs="Arial"/>
                <w:color w:val="222222"/>
                <w:sz w:val="20"/>
                <w:szCs w:val="20"/>
                <w:shd w:val="clear" w:color="auto" w:fill="FFFFFF"/>
                <w:lang w:eastAsia="zh-CN"/>
              </w:rPr>
              <w:t xml:space="preserve"> </w:t>
            </w:r>
            <w:r>
              <w:rPr>
                <w:rFonts w:ascii="Candara" w:hAnsi="Candara" w:cs="Arial"/>
                <w:color w:val="222222"/>
                <w:sz w:val="20"/>
                <w:szCs w:val="20"/>
                <w:shd w:val="clear" w:color="auto" w:fill="FFFFFF"/>
              </w:rPr>
              <w:t>15, no. 1 (2007): 62-85.</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30</w:t>
            </w:r>
            <w:r>
              <w:rPr>
                <w:rFonts w:ascii="Candara" w:hAnsi="Candara" w:cs="Times New Roman"/>
                <w:b/>
                <w:bCs/>
                <w:sz w:val="20"/>
                <w:szCs w:val="20"/>
              </w:rPr>
              <w:t xml:space="preserve"> June</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Open Session</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Arial"/>
                <w:color w:val="222222"/>
                <w:sz w:val="20"/>
                <w:szCs w:val="20"/>
                <w:shd w:val="clear" w:color="auto" w:fill="FFFFFF"/>
              </w:rPr>
            </w:pPr>
            <w:r>
              <w:rPr>
                <w:rFonts w:ascii="Candara" w:hAnsi="Candara" w:cs="Arial"/>
                <w:color w:val="222222"/>
                <w:sz w:val="20"/>
                <w:szCs w:val="20"/>
                <w:shd w:val="clear" w:color="auto" w:fill="FFFFFF"/>
              </w:rPr>
              <w:t>No readings</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3</w:t>
            </w:r>
            <w:r>
              <w:rPr>
                <w:rFonts w:ascii="Candara" w:hAnsi="Candara" w:cs="Times New Roman"/>
                <w:b/>
                <w:bCs/>
                <w:sz w:val="20"/>
                <w:szCs w:val="20"/>
              </w:rPr>
              <w:t xml:space="preserve"> July</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World Trade Organization: The Future of Multilateralism</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Arial"/>
                <w:color w:val="222222"/>
                <w:sz w:val="20"/>
                <w:szCs w:val="20"/>
                <w:shd w:val="clear" w:color="auto" w:fill="FFFFFF"/>
              </w:rPr>
            </w:pPr>
            <w:r>
              <w:rPr>
                <w:rFonts w:ascii="Candara" w:hAnsi="Candara" w:cs="Arial"/>
                <w:color w:val="222222"/>
                <w:sz w:val="20"/>
                <w:szCs w:val="20"/>
                <w:shd w:val="clear" w:color="auto" w:fill="FFFFFF"/>
              </w:rPr>
              <w:t>Baldwin, Richard. "The World Trade Organization and the future of multilateralism."</w:t>
            </w:r>
            <w:r>
              <w:rPr>
                <w:rFonts w:hint="eastAsia" w:ascii="Candara" w:hAnsi="Candara" w:cs="Arial"/>
                <w:color w:val="222222"/>
                <w:sz w:val="20"/>
                <w:szCs w:val="20"/>
                <w:shd w:val="clear" w:color="auto" w:fill="FFFFFF"/>
                <w:lang w:eastAsia="zh-CN"/>
              </w:rPr>
              <w:t xml:space="preserve"> </w:t>
            </w:r>
            <w:r>
              <w:rPr>
                <w:rFonts w:ascii="Candara" w:hAnsi="Candara" w:cs="Arial"/>
                <w:i/>
                <w:iCs/>
                <w:color w:val="222222"/>
                <w:sz w:val="20"/>
                <w:szCs w:val="20"/>
                <w:shd w:val="clear" w:color="auto" w:fill="FFFFFF"/>
              </w:rPr>
              <w:t>Journal of Economic Perspectives</w:t>
            </w:r>
            <w:r>
              <w:rPr>
                <w:rFonts w:hint="eastAsia" w:ascii="Candara" w:hAnsi="Candara" w:cs="Arial"/>
                <w:color w:val="222222"/>
                <w:sz w:val="20"/>
                <w:szCs w:val="20"/>
                <w:shd w:val="clear" w:color="auto" w:fill="FFFFFF"/>
                <w:lang w:eastAsia="zh-CN"/>
              </w:rPr>
              <w:t xml:space="preserve"> </w:t>
            </w:r>
            <w:r>
              <w:rPr>
                <w:rFonts w:ascii="Candara" w:hAnsi="Candara" w:cs="Arial"/>
                <w:color w:val="222222"/>
                <w:sz w:val="20"/>
                <w:szCs w:val="20"/>
                <w:shd w:val="clear" w:color="auto" w:fill="FFFFFF"/>
              </w:rPr>
              <w:t>30, no. 1 (2016): 95-116.</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4</w:t>
            </w:r>
            <w:r>
              <w:rPr>
                <w:rFonts w:ascii="Candara" w:hAnsi="Candara" w:cs="Times New Roman"/>
                <w:b/>
                <w:bCs/>
                <w:sz w:val="20"/>
                <w:szCs w:val="20"/>
              </w:rPr>
              <w:t xml:space="preserve"> July</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World Trade Organization: the Cotton Dispute</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Mark S. Langevin</w:t>
            </w:r>
          </w:p>
          <w:p>
            <w:pPr>
              <w:rPr>
                <w:rFonts w:ascii="Candara" w:hAnsi="Candara" w:cs="Times New Roman"/>
                <w:b/>
                <w:bCs/>
                <w:sz w:val="20"/>
                <w:szCs w:val="20"/>
              </w:rPr>
            </w:pPr>
            <w:r>
              <w:rPr>
                <w:rFonts w:ascii="Candara" w:hAnsi="Candara" w:cs="Times New Roman"/>
                <w:i/>
                <w:sz w:val="20"/>
                <w:szCs w:val="20"/>
              </w:rPr>
              <w:t xml:space="preserve">Foot Dragging or Strategic Withdrawal? The Cotton Dispute and Executive Compliance. </w:t>
            </w:r>
            <w:r>
              <w:rPr>
                <w:rFonts w:ascii="Candara" w:hAnsi="Candara" w:cs="Times New Roman"/>
                <w:sz w:val="20"/>
                <w:szCs w:val="20"/>
              </w:rPr>
              <w:t>Journal of World Trade, Vol. 52, Issue 4, pp. 2018:575–598</w:t>
            </w:r>
          </w:p>
          <w:p>
            <w:pPr>
              <w:rPr>
                <w:rFonts w:ascii="Candara" w:hAnsi="Candara" w:cs="Times New Roman"/>
                <w:b/>
                <w:bCs/>
                <w:sz w:val="20"/>
                <w:szCs w:val="20"/>
              </w:rPr>
            </w:pPr>
          </w:p>
          <w:p>
            <w:pPr>
              <w:rPr>
                <w:rFonts w:ascii="Candara" w:hAnsi="Candara" w:cs="Times New Roman"/>
                <w:i/>
                <w:sz w:val="20"/>
                <w:szCs w:val="20"/>
              </w:rPr>
            </w:pPr>
            <w:r>
              <w:rPr>
                <w:rFonts w:ascii="Candara" w:hAnsi="Candara" w:cs="Times New Roman"/>
                <w:i/>
                <w:sz w:val="20"/>
                <w:szCs w:val="20"/>
              </w:rPr>
              <w:t>Davey, William J. “WTO Dispute Settlement: Crown Jewel or Costume Jewelry?” World Trade Review, 2022, 1–10</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5</w:t>
            </w:r>
            <w:r>
              <w:rPr>
                <w:rFonts w:ascii="Candara" w:hAnsi="Candara" w:cs="Times New Roman"/>
                <w:b/>
                <w:bCs/>
                <w:sz w:val="20"/>
                <w:szCs w:val="20"/>
              </w:rPr>
              <w:t xml:space="preserve"> July</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China and the World Trade Organization</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Times New Roman"/>
                <w:sz w:val="20"/>
                <w:szCs w:val="20"/>
              </w:rPr>
            </w:pPr>
            <w:r>
              <w:rPr>
                <w:rFonts w:ascii="Candara" w:hAnsi="Candara" w:cs="Times New Roman"/>
                <w:sz w:val="20"/>
                <w:szCs w:val="20"/>
              </w:rPr>
              <w:t>Gao, Henry. “China's Changing Perspective on the WTO: From Aspiration, Assimilation to Alienation.” World Trade Review, 2022, 1–17.</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6</w:t>
            </w:r>
            <w:r>
              <w:rPr>
                <w:rFonts w:ascii="Candara" w:hAnsi="Candara" w:cs="Times New Roman"/>
                <w:b/>
                <w:bCs/>
                <w:sz w:val="20"/>
                <w:szCs w:val="20"/>
              </w:rPr>
              <w:t xml:space="preserve"> July</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United States Trade Policy After Doha: The case of the Section 232 Steel and Aluminum Tariffs</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sz w:val="20"/>
                <w:szCs w:val="20"/>
              </w:rPr>
            </w:pPr>
            <w:r>
              <w:rPr>
                <w:rFonts w:ascii="Candara" w:hAnsi="Candara" w:cs="Arial"/>
                <w:color w:val="222222"/>
                <w:sz w:val="20"/>
                <w:szCs w:val="20"/>
                <w:shd w:val="clear" w:color="auto" w:fill="FFFFFF"/>
              </w:rPr>
              <w:t xml:space="preserve">Langevin, Mark S. </w:t>
            </w:r>
            <w:r>
              <w:fldChar w:fldCharType="begin"/>
            </w:r>
            <w:r>
              <w:instrText xml:space="preserve"> HYPERLINK "https://www.mercatus.org/publications/trade/troubling-relief" </w:instrText>
            </w:r>
            <w:r>
              <w:fldChar w:fldCharType="separate"/>
            </w:r>
            <w:r>
              <w:rPr>
                <w:rStyle w:val="14"/>
                <w:rFonts w:ascii="Candara" w:hAnsi="Candara" w:cs="Arial"/>
                <w:sz w:val="20"/>
                <w:szCs w:val="20"/>
                <w:shd w:val="clear" w:color="auto" w:fill="FFFFFF"/>
              </w:rPr>
              <w:t>"Troubling Relief: The Evolution of the Section 232 Steel and Aluminum Tariff Exclusion Process."</w:t>
            </w:r>
            <w:r>
              <w:rPr>
                <w:rStyle w:val="14"/>
                <w:rFonts w:hint="eastAsia" w:ascii="Candara" w:hAnsi="Candara" w:cs="Arial"/>
                <w:sz w:val="20"/>
                <w:szCs w:val="20"/>
                <w:shd w:val="clear" w:color="auto" w:fill="FFFFFF"/>
                <w:lang w:eastAsia="zh-CN"/>
              </w:rPr>
              <w:t xml:space="preserve"> </w:t>
            </w:r>
            <w:r>
              <w:rPr>
                <w:rStyle w:val="14"/>
                <w:rFonts w:hint="eastAsia" w:ascii="Candara" w:hAnsi="Candara" w:cs="Arial"/>
                <w:sz w:val="20"/>
                <w:szCs w:val="20"/>
                <w:shd w:val="clear" w:color="auto" w:fill="FFFFFF"/>
                <w:lang w:eastAsia="zh-CN"/>
              </w:rPr>
              <w:fldChar w:fldCharType="end"/>
            </w:r>
            <w:r>
              <w:rPr>
                <w:rFonts w:ascii="Candara" w:hAnsi="Candara" w:cs="Arial"/>
                <w:i/>
                <w:iCs/>
                <w:color w:val="222222"/>
                <w:sz w:val="20"/>
                <w:szCs w:val="20"/>
                <w:shd w:val="clear" w:color="auto" w:fill="FFFFFF"/>
              </w:rPr>
              <w:t>Mercatus Center Policy Brief Series</w:t>
            </w:r>
            <w:r>
              <w:rPr>
                <w:rFonts w:hint="eastAsia" w:ascii="Candara" w:hAnsi="Candara" w:cs="Arial"/>
                <w:color w:val="222222"/>
                <w:sz w:val="20"/>
                <w:szCs w:val="20"/>
                <w:shd w:val="clear" w:color="auto" w:fill="FFFFFF"/>
                <w:lang w:eastAsia="zh-CN"/>
              </w:rPr>
              <w:t xml:space="preserve"> </w:t>
            </w:r>
            <w:r>
              <w:rPr>
                <w:rFonts w:ascii="Candara" w:hAnsi="Candara" w:cs="Arial"/>
                <w:color w:val="222222"/>
                <w:sz w:val="20"/>
                <w:szCs w:val="20"/>
                <w:shd w:val="clear" w:color="auto" w:fill="FFFFFF"/>
              </w:rPr>
              <w:t>(2021).</w:t>
            </w:r>
          </w:p>
          <w:p>
            <w:pPr>
              <w:rPr>
                <w:rFonts w:ascii="Candara" w:hAnsi="Candara" w:cs="Times New Roman"/>
                <w:sz w:val="20"/>
                <w:szCs w:val="20"/>
              </w:rPr>
            </w:pP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tcPr>
          <w:p>
            <w:pPr>
              <w:rPr>
                <w:rFonts w:ascii="Candara" w:hAnsi="Candara" w:cs="Times New Roman"/>
                <w:b/>
                <w:bCs/>
                <w:sz w:val="20"/>
                <w:szCs w:val="20"/>
              </w:rPr>
            </w:pPr>
            <w:r>
              <w:rPr>
                <w:rFonts w:hint="eastAsia" w:ascii="Candara" w:hAnsi="Candara" w:cs="Times New Roman"/>
                <w:b/>
                <w:bCs/>
                <w:sz w:val="20"/>
                <w:szCs w:val="20"/>
                <w:lang w:val="en-US" w:eastAsia="zh-CN"/>
              </w:rPr>
              <w:t>7</w:t>
            </w:r>
            <w:r>
              <w:rPr>
                <w:rFonts w:ascii="Candara" w:hAnsi="Candara" w:cs="Times New Roman"/>
                <w:b/>
                <w:bCs/>
                <w:sz w:val="20"/>
                <w:szCs w:val="20"/>
              </w:rPr>
              <w:t xml:space="preserve"> July</w:t>
            </w:r>
          </w:p>
        </w:tc>
        <w:tc>
          <w:tcPr>
            <w:tcW w:w="2520" w:type="dxa"/>
            <w:tcBorders>
              <w:top w:val="single" w:color="auto" w:sz="4" w:space="0"/>
              <w:left w:val="single" w:color="auto" w:sz="4" w:space="0"/>
              <w:bottom w:val="single" w:color="auto" w:sz="4" w:space="0"/>
              <w:right w:val="single" w:color="auto" w:sz="4" w:space="0"/>
            </w:tcBorders>
          </w:tcPr>
          <w:p>
            <w:pPr>
              <w:rPr>
                <w:rFonts w:ascii="Candara" w:hAnsi="Candara" w:cs="Times New Roman"/>
                <w:b/>
                <w:sz w:val="20"/>
                <w:szCs w:val="20"/>
              </w:rPr>
            </w:pPr>
            <w:r>
              <w:rPr>
                <w:rFonts w:ascii="Candara" w:hAnsi="Candara" w:cs="Times New Roman"/>
                <w:b/>
                <w:sz w:val="20"/>
                <w:szCs w:val="20"/>
              </w:rPr>
              <w:t>Climate Change and the Future of Trade Liberalization</w:t>
            </w:r>
          </w:p>
        </w:tc>
        <w:tc>
          <w:tcPr>
            <w:tcW w:w="6452" w:type="dxa"/>
            <w:tcBorders>
              <w:top w:val="single" w:color="auto" w:sz="4" w:space="0"/>
              <w:left w:val="single" w:color="auto" w:sz="4" w:space="0"/>
              <w:bottom w:val="single" w:color="auto" w:sz="4" w:space="0"/>
              <w:right w:val="single" w:color="auto" w:sz="4" w:space="0"/>
            </w:tcBorders>
          </w:tcPr>
          <w:p>
            <w:pPr>
              <w:rPr>
                <w:rFonts w:ascii="Candara" w:hAnsi="Candara" w:cs="Arial"/>
                <w:b/>
                <w:bCs/>
                <w:color w:val="222222"/>
                <w:sz w:val="20"/>
                <w:szCs w:val="20"/>
                <w:shd w:val="clear" w:color="auto" w:fill="FFFFFF"/>
              </w:rPr>
            </w:pPr>
            <w:r>
              <w:rPr>
                <w:rFonts w:ascii="Candara" w:hAnsi="Candara" w:cs="Arial"/>
                <w:color w:val="222222"/>
                <w:sz w:val="20"/>
                <w:szCs w:val="20"/>
                <w:shd w:val="clear" w:color="auto" w:fill="FFFFFF"/>
              </w:rPr>
              <w:t>Leal-Arcas, Rafael, and Kaushal Prakash. "Green Bills for Green Earth: How the International Trade and Climate Regimes Work Together to Save the Planet."</w:t>
            </w:r>
            <w:r>
              <w:rPr>
                <w:rFonts w:hint="eastAsia" w:ascii="Candara" w:hAnsi="Candara" w:cs="Arial"/>
                <w:color w:val="222222"/>
                <w:sz w:val="20"/>
                <w:szCs w:val="20"/>
                <w:shd w:val="clear" w:color="auto" w:fill="FFFFFF"/>
                <w:lang w:eastAsia="zh-CN"/>
              </w:rPr>
              <w:t xml:space="preserve"> </w:t>
            </w:r>
            <w:r>
              <w:rPr>
                <w:rFonts w:ascii="Candara" w:hAnsi="Candara" w:cs="Arial"/>
                <w:i/>
                <w:iCs/>
                <w:color w:val="222222"/>
                <w:sz w:val="20"/>
                <w:szCs w:val="20"/>
                <w:shd w:val="clear" w:color="auto" w:fill="FFFFFF"/>
              </w:rPr>
              <w:t>European Energy and Environmental Law Review</w:t>
            </w:r>
            <w:r>
              <w:rPr>
                <w:rFonts w:hint="eastAsia" w:ascii="Candara" w:hAnsi="Candara" w:cs="Arial"/>
                <w:color w:val="222222"/>
                <w:sz w:val="20"/>
                <w:szCs w:val="20"/>
                <w:shd w:val="clear" w:color="auto" w:fill="FFFFFF"/>
                <w:lang w:eastAsia="zh-CN"/>
              </w:rPr>
              <w:t xml:space="preserve"> </w:t>
            </w:r>
            <w:r>
              <w:rPr>
                <w:rFonts w:ascii="Candara" w:hAnsi="Candara" w:cs="Arial"/>
                <w:color w:val="222222"/>
                <w:sz w:val="20"/>
                <w:szCs w:val="20"/>
                <w:shd w:val="clear" w:color="auto" w:fill="FFFFFF"/>
              </w:rPr>
              <w:t>31, no. 1 (2022).</w:t>
            </w:r>
          </w:p>
          <w:p>
            <w:pPr>
              <w:rPr>
                <w:rFonts w:ascii="Candara" w:hAnsi="Candara" w:cs="Arial"/>
                <w:b/>
                <w:bCs/>
                <w:color w:val="222222"/>
                <w:sz w:val="20"/>
                <w:szCs w:val="20"/>
                <w:shd w:val="clear" w:color="auto" w:fill="FFFFFF"/>
              </w:rPr>
            </w:pPr>
          </w:p>
          <w:p>
            <w:pPr>
              <w:rPr>
                <w:rFonts w:ascii="Candara" w:hAnsi="Candara"/>
                <w:sz w:val="20"/>
                <w:szCs w:val="20"/>
              </w:rPr>
            </w:pPr>
            <w:r>
              <w:rPr>
                <w:rFonts w:ascii="Candara" w:hAnsi="Candara"/>
                <w:sz w:val="20"/>
                <w:szCs w:val="20"/>
              </w:rPr>
              <w:t>Meyer, Timothy, and Todd N. Tucker. “A Pragmatic Approach to Carbon Border Measures.” World Trade Review 21, no. 1 (2022): 109–20.</w:t>
            </w:r>
          </w:p>
        </w:tc>
      </w:tr>
      <w:tr>
        <w:tblPrEx>
          <w:tblBorders>
            <w:top w:val="single" w:color="4472C4" w:themeColor="accent1" w:sz="8" w:space="0"/>
            <w:left w:val="single" w:color="4472C4" w:themeColor="accent1" w:sz="8" w:space="0"/>
            <w:bottom w:val="single" w:color="4472C4" w:themeColor="accent1" w:sz="8" w:space="0"/>
            <w:right w:val="single" w:color="4472C4" w:themeColor="accent1" w:sz="8" w:space="0"/>
            <w:insideH w:val="none" w:color="auto" w:sz="0" w:space="0"/>
            <w:insideV w:val="none" w:color="auto" w:sz="0" w:space="0"/>
          </w:tblBorders>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shd w:val="clear" w:color="auto" w:fill="44546A" w:themeFill="text2"/>
          </w:tcPr>
          <w:p>
            <w:pPr>
              <w:rPr>
                <w:rFonts w:ascii="Candara" w:hAnsi="Candara" w:cs="Times New Roman"/>
                <w:b/>
                <w:bCs/>
                <w:color w:val="FFFFFF" w:themeColor="background1"/>
                <w:sz w:val="20"/>
                <w:szCs w:val="20"/>
                <w14:textFill>
                  <w14:solidFill>
                    <w14:schemeClr w14:val="bg1"/>
                  </w14:solidFill>
                </w14:textFill>
              </w:rPr>
            </w:pPr>
            <w:r>
              <w:rPr>
                <w:rFonts w:hint="eastAsia" w:ascii="Candara" w:hAnsi="Candara" w:cs="Times New Roman"/>
                <w:b/>
                <w:bCs/>
                <w:color w:val="FFFFFF" w:themeColor="background1"/>
                <w:sz w:val="20"/>
                <w:szCs w:val="20"/>
                <w:lang w:val="en-US" w:eastAsia="zh-CN"/>
                <w14:textFill>
                  <w14:solidFill>
                    <w14:schemeClr w14:val="bg1"/>
                  </w14:solidFill>
                </w14:textFill>
              </w:rPr>
              <w:t>7</w:t>
            </w:r>
            <w:r>
              <w:rPr>
                <w:rFonts w:ascii="Candara" w:hAnsi="Candara" w:cs="Times New Roman"/>
                <w:b/>
                <w:bCs/>
                <w:color w:val="FFFFFF" w:themeColor="background1"/>
                <w:sz w:val="20"/>
                <w:szCs w:val="20"/>
                <w14:textFill>
                  <w14:solidFill>
                    <w14:schemeClr w14:val="bg1"/>
                  </w14:solidFill>
                </w14:textFill>
              </w:rPr>
              <w:t xml:space="preserve"> July</w:t>
            </w:r>
          </w:p>
        </w:tc>
        <w:tc>
          <w:tcPr>
            <w:tcW w:w="2520" w:type="dxa"/>
            <w:tcBorders>
              <w:top w:val="single" w:color="auto" w:sz="4" w:space="0"/>
              <w:left w:val="single" w:color="auto" w:sz="4" w:space="0"/>
              <w:bottom w:val="single" w:color="auto" w:sz="4" w:space="0"/>
              <w:right w:val="single" w:color="auto" w:sz="4" w:space="0"/>
            </w:tcBorders>
            <w:shd w:val="clear" w:color="auto" w:fill="44546A" w:themeFill="text2"/>
          </w:tcPr>
          <w:p>
            <w:pPr>
              <w:rPr>
                <w:rFonts w:ascii="Candara" w:hAnsi="Candara" w:cs="Times New Roman"/>
                <w:b/>
                <w:color w:val="FFFFFF" w:themeColor="background1"/>
                <w:sz w:val="20"/>
                <w:szCs w:val="20"/>
                <w14:textFill>
                  <w14:solidFill>
                    <w14:schemeClr w14:val="bg1"/>
                  </w14:solidFill>
                </w14:textFill>
              </w:rPr>
            </w:pPr>
            <w:r>
              <w:rPr>
                <w:rFonts w:ascii="Candara" w:hAnsi="Candara" w:cs="Times New Roman"/>
                <w:b/>
                <w:color w:val="FFFFFF" w:themeColor="background1"/>
                <w:sz w:val="20"/>
                <w:szCs w:val="20"/>
                <w14:textFill>
                  <w14:solidFill>
                    <w14:schemeClr w14:val="bg1"/>
                  </w14:solidFill>
                </w14:textFill>
              </w:rPr>
              <w:t>Final Exam DUE</w:t>
            </w:r>
          </w:p>
        </w:tc>
        <w:tc>
          <w:tcPr>
            <w:tcW w:w="6452" w:type="dxa"/>
            <w:tcBorders>
              <w:top w:val="single" w:color="auto" w:sz="4" w:space="0"/>
              <w:left w:val="single" w:color="auto" w:sz="4" w:space="0"/>
              <w:bottom w:val="single" w:color="auto" w:sz="4" w:space="0"/>
              <w:right w:val="single" w:color="auto" w:sz="4" w:space="0"/>
            </w:tcBorders>
            <w:shd w:val="clear" w:color="auto" w:fill="44546A" w:themeFill="text2"/>
          </w:tcPr>
          <w:p>
            <w:pPr>
              <w:rPr>
                <w:rFonts w:ascii="Candara" w:hAnsi="Candara" w:cs="Times New Roman"/>
                <w:bCs/>
                <w:color w:val="FFFFFF" w:themeColor="background1"/>
                <w:sz w:val="20"/>
                <w:szCs w:val="20"/>
                <w14:textFill>
                  <w14:solidFill>
                    <w14:schemeClr w14:val="bg1"/>
                  </w14:solidFill>
                </w14:textFill>
              </w:rPr>
            </w:pPr>
            <w:r>
              <w:rPr>
                <w:rFonts w:ascii="Candara" w:hAnsi="Candara" w:cs="Times New Roman"/>
                <w:b/>
                <w:bCs/>
                <w:color w:val="FFFFFF" w:themeColor="background1"/>
                <w:sz w:val="20"/>
                <w:szCs w:val="20"/>
                <w14:textFill>
                  <w14:solidFill>
                    <w14:schemeClr w14:val="bg1"/>
                  </w14:solidFill>
                </w14:textFill>
              </w:rPr>
              <w:t>Final Exam</w:t>
            </w:r>
            <w:r>
              <w:rPr>
                <w:rFonts w:ascii="Candara" w:hAnsi="Candara" w:cs="Times New Roman"/>
                <w:bCs/>
                <w:color w:val="FFFFFF" w:themeColor="background1"/>
                <w:sz w:val="20"/>
                <w:szCs w:val="20"/>
                <w14:textFill>
                  <w14:solidFill>
                    <w14:schemeClr w14:val="bg1"/>
                  </w14:solidFill>
                </w14:textFill>
              </w:rPr>
              <w:t xml:space="preserve"> DUE</w:t>
            </w:r>
          </w:p>
        </w:tc>
      </w:tr>
    </w:tbl>
    <w:p>
      <w:pPr>
        <w:spacing w:after="0" w:line="240" w:lineRule="auto"/>
        <w:textAlignment w:val="baseline"/>
        <w:rPr>
          <w:rFonts w:ascii="Times New Roman" w:hAnsi="Times New Roman" w:eastAsia="Times New Roman" w:cs="Times New Roman"/>
          <w:sz w:val="24"/>
          <w:szCs w:val="24"/>
        </w:rPr>
        <w:sectPr>
          <w:headerReference r:id="rId5" w:type="default"/>
          <w:footerReference r:id="rId6" w:type="default"/>
          <w:pgSz w:w="12240" w:h="15840"/>
          <w:pgMar w:top="1440" w:right="1440" w:bottom="1440" w:left="1440" w:header="720" w:footer="720" w:gutter="0"/>
          <w:cols w:space="720" w:num="1"/>
          <w:docGrid w:linePitch="360" w:charSpace="0"/>
        </w:sectPr>
      </w:pPr>
    </w:p>
    <w:p>
      <w:pPr>
        <w:spacing w:after="0" w:line="240" w:lineRule="auto"/>
        <w:rPr>
          <w:rFonts w:ascii="Times New Roman" w:hAnsi="Times New Roman" w:eastAsia="宋体" w:cs="Times New Roman"/>
          <w:b/>
          <w:bCs/>
          <w:sz w:val="24"/>
          <w:szCs w:val="24"/>
          <w:lang w:eastAsia="zh-CN"/>
        </w:rPr>
      </w:pPr>
      <w:r>
        <w:rPr>
          <w:rFonts w:hint="eastAsia" w:ascii="Times New Roman" w:hAnsi="Times New Roman" w:eastAsia="Times New Roman" w:cs="Times New Roman"/>
          <w:b/>
          <w:bCs/>
          <w:sz w:val="24"/>
          <w:szCs w:val="24"/>
        </w:rPr>
        <w:t xml:space="preserve">Attachment 2: The Schedule of the </w:t>
      </w:r>
      <w:r>
        <w:rPr>
          <w:rFonts w:hint="eastAsia" w:ascii="Times New Roman" w:hAnsi="Times New Roman" w:eastAsia="宋体" w:cs="Times New Roman"/>
          <w:b/>
          <w:bCs/>
          <w:sz w:val="24"/>
          <w:szCs w:val="24"/>
          <w:lang w:eastAsia="zh-CN"/>
        </w:rPr>
        <w:t>Global Trade Relations</w:t>
      </w:r>
    </w:p>
    <w:p>
      <w:pPr>
        <w:spacing w:after="0" w:line="240" w:lineRule="auto"/>
        <w:rPr>
          <w:rFonts w:ascii="Times New Roman" w:hAnsi="Times New Roman" w:eastAsia="Times New Roman" w:cs="Times New Roman"/>
          <w:b/>
          <w:bCs/>
          <w:sz w:val="24"/>
          <w:szCs w:val="24"/>
        </w:rPr>
      </w:pPr>
    </w:p>
    <w:tbl>
      <w:tblPr>
        <w:tblStyle w:val="10"/>
        <w:tblW w:w="13353" w:type="dxa"/>
        <w:jc w:val="center"/>
        <w:tblLayout w:type="fixed"/>
        <w:tblCellMar>
          <w:top w:w="0" w:type="dxa"/>
          <w:left w:w="108" w:type="dxa"/>
          <w:bottom w:w="0" w:type="dxa"/>
          <w:right w:w="108" w:type="dxa"/>
        </w:tblCellMar>
      </w:tblPr>
      <w:tblGrid>
        <w:gridCol w:w="1244"/>
        <w:gridCol w:w="1900"/>
        <w:gridCol w:w="2456"/>
        <w:gridCol w:w="1800"/>
        <w:gridCol w:w="1477"/>
        <w:gridCol w:w="1734"/>
        <w:gridCol w:w="1544"/>
        <w:gridCol w:w="1198"/>
      </w:tblGrid>
      <w:tr>
        <w:tblPrEx>
          <w:tblCellMar>
            <w:top w:w="0" w:type="dxa"/>
            <w:left w:w="108" w:type="dxa"/>
            <w:bottom w:w="0" w:type="dxa"/>
            <w:right w:w="108" w:type="dxa"/>
          </w:tblCellMar>
        </w:tblPrEx>
        <w:trPr>
          <w:trHeight w:val="614" w:hRule="atLeast"/>
          <w:jc w:val="center"/>
        </w:trPr>
        <w:tc>
          <w:tcPr>
            <w:tcW w:w="1335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8"/>
                <w:szCs w:val="28"/>
                <w:lang w:eastAsia="zh-CN" w:bidi="ar"/>
              </w:rPr>
            </w:pPr>
            <w:r>
              <w:rPr>
                <w:rFonts w:hint="eastAsia" w:ascii="Times New Roman" w:hAnsi="Times New Roman" w:eastAsia="宋体" w:cs="Times New Roman"/>
                <w:b/>
                <w:bCs/>
                <w:color w:val="000000"/>
                <w:sz w:val="28"/>
                <w:szCs w:val="28"/>
                <w:lang w:eastAsia="zh-CN" w:bidi="ar"/>
              </w:rPr>
              <w:t>Global Trade Relations</w:t>
            </w:r>
            <w:r>
              <w:rPr>
                <w:rFonts w:ascii="Times New Roman" w:hAnsi="Times New Roman" w:eastAsia="宋体" w:cs="Times New Roman"/>
                <w:b/>
                <w:bCs/>
                <w:color w:val="000000"/>
                <w:sz w:val="28"/>
                <w:szCs w:val="28"/>
                <w:lang w:eastAsia="zh-CN" w:bidi="ar"/>
              </w:rPr>
              <w:t>-</w:t>
            </w:r>
            <w:r>
              <w:rPr>
                <w:rFonts w:hint="eastAsia" w:eastAsia="宋体" w:cs="Times New Roman"/>
                <w:b/>
                <w:bCs/>
                <w:color w:val="000000"/>
                <w:sz w:val="28"/>
                <w:szCs w:val="28"/>
                <w:lang w:val="en-US" w:eastAsia="zh-CN" w:bidi="ar"/>
              </w:rPr>
              <w:t xml:space="preserve">Prof. </w:t>
            </w:r>
            <w:r>
              <w:rPr>
                <w:rFonts w:hint="eastAsia" w:ascii="Times New Roman" w:hAnsi="Times New Roman" w:eastAsia="宋体" w:cs="Times New Roman"/>
                <w:b/>
                <w:bCs/>
                <w:color w:val="000000"/>
                <w:sz w:val="28"/>
                <w:szCs w:val="28"/>
                <w:lang w:eastAsia="zh-CN" w:bidi="ar"/>
              </w:rPr>
              <w:t xml:space="preserve">Mark S Langevin </w:t>
            </w:r>
          </w:p>
        </w:tc>
      </w:tr>
      <w:tr>
        <w:tblPrEx>
          <w:tblCellMar>
            <w:top w:w="0" w:type="dxa"/>
            <w:left w:w="108" w:type="dxa"/>
            <w:bottom w:w="0" w:type="dxa"/>
            <w:right w:w="108" w:type="dxa"/>
          </w:tblCellMar>
        </w:tblPrEx>
        <w:trPr>
          <w:trHeight w:val="508" w:hRule="atLeast"/>
          <w:jc w:val="center"/>
        </w:trPr>
        <w:tc>
          <w:tcPr>
            <w:tcW w:w="1244" w:type="dxa"/>
            <w:vMerge w:val="restart"/>
            <w:tcBorders>
              <w:top w:val="single" w:color="000000" w:sz="4" w:space="0"/>
              <w:left w:val="single" w:color="000000" w:sz="4" w:space="0"/>
              <w:right w:val="single" w:color="000000" w:sz="4" w:space="0"/>
            </w:tcBorders>
            <w:shd w:val="clear" w:color="auto" w:fill="E7E6E6" w:themeFill="background2"/>
            <w:noWrap/>
            <w:vAlign w:val="center"/>
          </w:tcPr>
          <w:p>
            <w:pPr>
              <w:jc w:val="center"/>
              <w:textAlignment w:val="center"/>
              <w:rPr>
                <w:rFonts w:hint="eastAsia" w:eastAsia="宋体" w:cs="Times New Roman"/>
                <w:b/>
                <w:bCs/>
                <w:color w:val="000000"/>
                <w:sz w:val="24"/>
                <w:szCs w:val="24"/>
                <w:lang w:val="en-US" w:eastAsia="zh-CN"/>
              </w:rPr>
            </w:pPr>
            <w:r>
              <w:rPr>
                <w:rFonts w:hint="eastAsia" w:eastAsia="宋体" w:cs="Times New Roman"/>
                <w:b/>
                <w:bCs/>
                <w:color w:val="000000"/>
                <w:sz w:val="24"/>
                <w:szCs w:val="24"/>
                <w:lang w:val="en-US" w:eastAsia="zh-CN"/>
              </w:rPr>
              <w:t>Date/</w:t>
            </w:r>
          </w:p>
          <w:p>
            <w:pPr>
              <w:jc w:val="center"/>
              <w:textAlignment w:val="center"/>
              <w:rPr>
                <w:rFonts w:hint="default"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lang w:val="en-US" w:eastAsia="zh-CN"/>
              </w:rPr>
              <w:t>Time</w:t>
            </w:r>
          </w:p>
        </w:tc>
        <w:tc>
          <w:tcPr>
            <w:tcW w:w="1900"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Sun</w:t>
            </w:r>
            <w:r>
              <w:rPr>
                <w:rFonts w:hint="eastAsia" w:eastAsia="宋体" w:cs="Times New Roman"/>
                <w:b/>
                <w:bCs/>
                <w:color w:val="000000"/>
                <w:sz w:val="24"/>
                <w:szCs w:val="24"/>
                <w:lang w:val="en-US" w:eastAsia="zh-CN" w:bidi="ar"/>
              </w:rPr>
              <w:t>.</w:t>
            </w:r>
          </w:p>
        </w:tc>
        <w:tc>
          <w:tcPr>
            <w:tcW w:w="2456"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Mon</w:t>
            </w:r>
            <w:r>
              <w:rPr>
                <w:rFonts w:hint="eastAsia" w:eastAsia="宋体" w:cs="Times New Roman"/>
                <w:b/>
                <w:bCs/>
                <w:color w:val="000000"/>
                <w:sz w:val="24"/>
                <w:szCs w:val="24"/>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Tues</w:t>
            </w:r>
            <w:r>
              <w:rPr>
                <w:rFonts w:hint="eastAsia" w:eastAsia="宋体" w:cs="Times New Roman"/>
                <w:b/>
                <w:bCs/>
                <w:color w:val="000000"/>
                <w:sz w:val="24"/>
                <w:szCs w:val="24"/>
                <w:lang w:val="en-US" w:eastAsia="zh-CN" w:bidi="ar"/>
              </w:rPr>
              <w:t>.</w:t>
            </w:r>
          </w:p>
        </w:tc>
        <w:tc>
          <w:tcPr>
            <w:tcW w:w="1477"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Wed</w:t>
            </w:r>
            <w:r>
              <w:rPr>
                <w:rFonts w:hint="eastAsia" w:eastAsia="宋体" w:cs="Times New Roman"/>
                <w:b/>
                <w:bCs/>
                <w:color w:val="000000"/>
                <w:sz w:val="24"/>
                <w:szCs w:val="24"/>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Thurs</w:t>
            </w:r>
            <w:r>
              <w:rPr>
                <w:rFonts w:hint="eastAsia" w:eastAsia="宋体" w:cs="Times New Roman"/>
                <w:b/>
                <w:bCs/>
                <w:color w:val="000000"/>
                <w:sz w:val="24"/>
                <w:szCs w:val="24"/>
                <w:lang w:val="en-US" w:eastAsia="zh-CN" w:bidi="ar"/>
              </w:rPr>
              <w:t>.</w:t>
            </w:r>
          </w:p>
        </w:tc>
        <w:tc>
          <w:tcPr>
            <w:tcW w:w="1544"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Fri</w:t>
            </w:r>
            <w:r>
              <w:rPr>
                <w:rFonts w:hint="eastAsia" w:eastAsia="宋体" w:cs="Times New Roman"/>
                <w:b/>
                <w:bCs/>
                <w:color w:val="000000"/>
                <w:sz w:val="24"/>
                <w:szCs w:val="24"/>
                <w:lang w:val="en-US" w:eastAsia="zh-CN" w:bidi="ar"/>
              </w:rPr>
              <w:t>.</w:t>
            </w:r>
          </w:p>
        </w:tc>
        <w:tc>
          <w:tcPr>
            <w:tcW w:w="1198"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ascii="Times New Roman" w:hAnsi="Times New Roman" w:eastAsia="宋体" w:cs="Times New Roman"/>
                <w:b/>
                <w:bCs/>
                <w:color w:val="000000"/>
                <w:sz w:val="24"/>
                <w:szCs w:val="24"/>
              </w:rPr>
            </w:pPr>
            <w:r>
              <w:rPr>
                <w:rFonts w:ascii="Times New Roman" w:hAnsi="Times New Roman" w:eastAsia="宋体" w:cs="Times New Roman"/>
                <w:b/>
                <w:bCs/>
                <w:color w:val="000000"/>
                <w:sz w:val="24"/>
                <w:szCs w:val="24"/>
                <w:lang w:eastAsia="zh-CN" w:bidi="ar"/>
              </w:rPr>
              <w:t>Sat.</w:t>
            </w:r>
          </w:p>
        </w:tc>
      </w:tr>
      <w:tr>
        <w:tblPrEx>
          <w:tblCellMar>
            <w:top w:w="0" w:type="dxa"/>
            <w:left w:w="108" w:type="dxa"/>
            <w:bottom w:w="0" w:type="dxa"/>
            <w:right w:w="108" w:type="dxa"/>
          </w:tblCellMar>
        </w:tblPrEx>
        <w:trPr>
          <w:trHeight w:val="486" w:hRule="atLeast"/>
          <w:jc w:val="center"/>
        </w:trPr>
        <w:tc>
          <w:tcPr>
            <w:tcW w:w="1244" w:type="dxa"/>
            <w:vMerge w:val="continue"/>
            <w:tcBorders>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ascii="Times New Roman" w:hAnsi="Times New Roman" w:eastAsia="宋体" w:cs="Times New Roman"/>
                <w:b/>
                <w:bCs/>
                <w:color w:val="000000"/>
                <w:sz w:val="24"/>
                <w:szCs w:val="24"/>
              </w:rPr>
            </w:pPr>
          </w:p>
        </w:tc>
        <w:tc>
          <w:tcPr>
            <w:tcW w:w="1900"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eastAsia="zh-CN" w:bidi="ar-SA"/>
              </w:rPr>
            </w:pPr>
            <w:r>
              <w:rPr>
                <w:rFonts w:hint="eastAsia" w:eastAsia="宋体" w:cs="Times New Roman"/>
                <w:b/>
                <w:bCs/>
                <w:color w:val="000000"/>
                <w:sz w:val="24"/>
                <w:szCs w:val="24"/>
                <w:lang w:val="en-US" w:eastAsia="zh-CN" w:bidi="ar-SA"/>
              </w:rPr>
              <w:t>6.18</w:t>
            </w:r>
          </w:p>
        </w:tc>
        <w:tc>
          <w:tcPr>
            <w:tcW w:w="2456"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6.</w:t>
            </w:r>
            <w:r>
              <w:rPr>
                <w:rFonts w:hint="eastAsia" w:ascii="Times New Roman" w:hAnsi="Times New Roman" w:eastAsia="宋体" w:cs="Times New Roman"/>
                <w:b/>
                <w:bCs/>
                <w:color w:val="000000"/>
                <w:sz w:val="24"/>
                <w:szCs w:val="24"/>
                <w:lang w:val="en-US" w:eastAsia="zh-CN" w:bidi="ar"/>
              </w:rPr>
              <w:t>19</w:t>
            </w:r>
          </w:p>
        </w:tc>
        <w:tc>
          <w:tcPr>
            <w:tcW w:w="1800"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6.</w:t>
            </w:r>
            <w:r>
              <w:rPr>
                <w:rFonts w:hint="eastAsia" w:ascii="Times New Roman" w:hAnsi="Times New Roman" w:eastAsia="宋体" w:cs="Times New Roman"/>
                <w:b/>
                <w:bCs/>
                <w:color w:val="000000"/>
                <w:sz w:val="24"/>
                <w:szCs w:val="24"/>
                <w:lang w:val="en-US" w:eastAsia="zh-CN" w:bidi="ar"/>
              </w:rPr>
              <w:t>20</w:t>
            </w:r>
          </w:p>
        </w:tc>
        <w:tc>
          <w:tcPr>
            <w:tcW w:w="1477"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6.</w:t>
            </w:r>
            <w:r>
              <w:rPr>
                <w:rFonts w:hint="eastAsia" w:ascii="Times New Roman" w:hAnsi="Times New Roman" w:eastAsia="宋体" w:cs="Times New Roman"/>
                <w:b/>
                <w:bCs/>
                <w:color w:val="000000"/>
                <w:sz w:val="24"/>
                <w:szCs w:val="24"/>
                <w:lang w:val="en-US" w:eastAsia="zh-CN" w:bidi="ar"/>
              </w:rPr>
              <w:t>21</w:t>
            </w:r>
          </w:p>
        </w:tc>
        <w:tc>
          <w:tcPr>
            <w:tcW w:w="1734"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6.</w:t>
            </w:r>
            <w:r>
              <w:rPr>
                <w:rFonts w:hint="eastAsia" w:ascii="Times New Roman" w:hAnsi="Times New Roman" w:eastAsia="宋体" w:cs="Times New Roman"/>
                <w:b/>
                <w:bCs/>
                <w:color w:val="000000"/>
                <w:sz w:val="24"/>
                <w:szCs w:val="24"/>
                <w:lang w:val="en-US" w:eastAsia="zh-CN" w:bidi="ar"/>
              </w:rPr>
              <w:t>22</w:t>
            </w:r>
          </w:p>
        </w:tc>
        <w:tc>
          <w:tcPr>
            <w:tcW w:w="1544"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6.</w:t>
            </w:r>
            <w:r>
              <w:rPr>
                <w:rFonts w:hint="eastAsia" w:ascii="Times New Roman" w:hAnsi="Times New Roman" w:eastAsia="宋体" w:cs="Times New Roman"/>
                <w:b/>
                <w:bCs/>
                <w:color w:val="000000"/>
                <w:sz w:val="24"/>
                <w:szCs w:val="24"/>
                <w:lang w:val="en-US" w:eastAsia="zh-CN" w:bidi="ar"/>
              </w:rPr>
              <w:t>23</w:t>
            </w:r>
          </w:p>
        </w:tc>
        <w:tc>
          <w:tcPr>
            <w:tcW w:w="1198" w:type="dxa"/>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val="en-US" w:eastAsia="zh-CN" w:bidi="ar"/>
              </w:rPr>
              <w:t>6</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24</w:t>
            </w:r>
          </w:p>
        </w:tc>
      </w:tr>
      <w:tr>
        <w:tblPrEx>
          <w:tblCellMar>
            <w:top w:w="0" w:type="dxa"/>
            <w:left w:w="108" w:type="dxa"/>
            <w:bottom w:w="0" w:type="dxa"/>
            <w:right w:w="108" w:type="dxa"/>
          </w:tblCellMar>
        </w:tblPrEx>
        <w:trPr>
          <w:trHeight w:val="2009" w:hRule="atLeast"/>
          <w:jc w:val="center"/>
        </w:trPr>
        <w:tc>
          <w:tcPr>
            <w:tcW w:w="1244" w:type="dxa"/>
            <w:tcBorders>
              <w:top w:val="single" w:color="000000" w:sz="4" w:space="0"/>
              <w:left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b/>
                <w:bCs/>
                <w:color w:val="000000"/>
                <w:sz w:val="22"/>
                <w:szCs w:val="22"/>
                <w:lang w:val="en-US" w:eastAsia="zh-CN"/>
              </w:rPr>
            </w:pPr>
            <w:r>
              <w:rPr>
                <w:rFonts w:hint="eastAsia" w:ascii="Times New Roman" w:hAnsi="Times New Roman" w:eastAsia="宋体" w:cs="Times New Roman"/>
                <w:b/>
                <w:bCs/>
                <w:color w:val="000000"/>
                <w:sz w:val="22"/>
                <w:szCs w:val="22"/>
                <w:lang w:val="en-US" w:eastAsia="zh-CN"/>
              </w:rPr>
              <w:t>Morning</w:t>
            </w:r>
          </w:p>
        </w:tc>
        <w:tc>
          <w:tcPr>
            <w:tcW w:w="1900" w:type="dxa"/>
            <w:vMerge w:val="restart"/>
            <w:tcBorders>
              <w:top w:val="single" w:color="000000" w:sz="4" w:space="0"/>
              <w:left w:val="single" w:color="000000" w:sz="4" w:space="0"/>
              <w:right w:val="single" w:color="000000" w:sz="4" w:space="0"/>
            </w:tcBorders>
            <w:shd w:val="clear" w:color="auto" w:fill="auto"/>
            <w:vAlign w:val="top"/>
          </w:tcPr>
          <w:p>
            <w:pPr>
              <w:jc w:val="center"/>
              <w:rPr>
                <w:rFonts w:hint="eastAsia" w:ascii="Times New Roman" w:hAnsi="Times New Roman" w:eastAsia="宋体" w:cs="Times New Roman"/>
                <w:color w:val="000000"/>
                <w:sz w:val="24"/>
                <w:szCs w:val="24"/>
                <w:lang w:val="en-US" w:eastAsia="zh-CN" w:bidi="ar-SA"/>
              </w:rPr>
            </w:pPr>
            <w:r>
              <w:rPr>
                <w:rFonts w:hint="eastAsia" w:ascii="Times New Roman" w:hAnsi="Times New Roman" w:eastAsia="宋体" w:cs="Times New Roman"/>
                <w:color w:val="000000"/>
                <w:sz w:val="24"/>
                <w:szCs w:val="24"/>
                <w:lang w:val="en-US" w:eastAsia="zh-CN" w:bidi="ar-SA"/>
              </w:rPr>
              <w:t>Arrival in Beijing</w:t>
            </w:r>
          </w:p>
          <w:p>
            <w:pPr>
              <w:jc w:val="center"/>
              <w:rPr>
                <w:rFonts w:hint="default" w:eastAsia="宋体" w:cs="Times New Roman"/>
                <w:color w:val="000000"/>
                <w:sz w:val="24"/>
                <w:szCs w:val="24"/>
                <w:lang w:val="en-US" w:eastAsia="zh-CN" w:bidi="ar-SA"/>
              </w:rPr>
            </w:pPr>
            <w:r>
              <w:rPr>
                <w:rFonts w:hint="eastAsia" w:eastAsia="宋体" w:cs="Times New Roman"/>
                <w:color w:val="000000"/>
                <w:sz w:val="24"/>
                <w:szCs w:val="24"/>
                <w:lang w:val="en-US" w:eastAsia="zh-CN" w:bidi="ar-SA"/>
              </w:rPr>
              <w:t>Check-in at the CUEB apartment.</w:t>
            </w:r>
          </w:p>
        </w:tc>
        <w:tc>
          <w:tcPr>
            <w:tcW w:w="2456"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The Political Economy of International Trade</w:t>
            </w:r>
          </w:p>
        </w:tc>
        <w:tc>
          <w:tcPr>
            <w:tcW w:w="1800" w:type="dxa"/>
            <w:tcBorders>
              <w:top w:val="single" w:color="000000" w:sz="4" w:space="0"/>
              <w:left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The Global Economy</w:t>
            </w:r>
          </w:p>
        </w:tc>
        <w:tc>
          <w:tcPr>
            <w:tcW w:w="1477" w:type="dxa"/>
            <w:tcBorders>
              <w:top w:val="single" w:color="000000" w:sz="4" w:space="0"/>
              <w:left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The State and Trade I</w:t>
            </w:r>
          </w:p>
        </w:tc>
        <w:tc>
          <w:tcPr>
            <w:tcW w:w="1734" w:type="dxa"/>
            <w:tcBorders>
              <w:top w:val="single" w:color="000000" w:sz="4" w:space="0"/>
              <w:left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The State and Trade II</w:t>
            </w:r>
          </w:p>
        </w:tc>
        <w:tc>
          <w:tcPr>
            <w:tcW w:w="1544" w:type="dxa"/>
            <w:tcBorders>
              <w:top w:val="single" w:color="000000" w:sz="4" w:space="0"/>
              <w:left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Domestic Politics and Trade</w:t>
            </w:r>
          </w:p>
        </w:tc>
        <w:tc>
          <w:tcPr>
            <w:tcW w:w="1198" w:type="dxa"/>
            <w:vMerge w:val="restart"/>
            <w:tcBorders>
              <w:top w:val="single" w:color="000000" w:sz="4" w:space="0"/>
              <w:left w:val="single" w:color="000000" w:sz="4" w:space="0"/>
              <w:right w:val="single" w:color="000000" w:sz="4" w:space="0"/>
            </w:tcBorders>
            <w:shd w:val="clear" w:color="auto" w:fill="auto"/>
            <w:vAlign w:val="top"/>
          </w:tcPr>
          <w:p>
            <w:pPr>
              <w:jc w:val="center"/>
              <w:textAlignment w:val="center"/>
              <w:rPr>
                <w:rFonts w:hint="default" w:ascii="Times New Roman" w:hAnsi="Times New Roman" w:eastAsia="宋体" w:cs="Times New Roman"/>
                <w:color w:val="000000"/>
                <w:sz w:val="24"/>
                <w:szCs w:val="24"/>
                <w:lang w:val="en-US" w:eastAsia="zh-CN"/>
              </w:rPr>
            </w:pPr>
            <w:r>
              <w:rPr>
                <w:rFonts w:hint="eastAsia" w:eastAsia="宋体" w:cs="Times New Roman"/>
                <w:color w:val="000000"/>
                <w:sz w:val="24"/>
                <w:szCs w:val="24"/>
                <w:lang w:val="en-US" w:eastAsia="zh-CN"/>
              </w:rPr>
              <w:t>Free Time</w:t>
            </w:r>
          </w:p>
        </w:tc>
      </w:tr>
      <w:tr>
        <w:tblPrEx>
          <w:tblCellMar>
            <w:top w:w="0" w:type="dxa"/>
            <w:left w:w="108" w:type="dxa"/>
            <w:bottom w:w="0" w:type="dxa"/>
            <w:right w:w="108" w:type="dxa"/>
          </w:tblCellMar>
        </w:tblPrEx>
        <w:trPr>
          <w:trHeight w:val="1609"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b/>
                <w:bCs/>
                <w:color w:val="000000"/>
                <w:sz w:val="22"/>
                <w:szCs w:val="22"/>
                <w:lang w:val="en-US" w:eastAsia="zh-CN"/>
              </w:rPr>
            </w:pPr>
            <w:r>
              <w:rPr>
                <w:rFonts w:hint="eastAsia" w:ascii="Times New Roman" w:hAnsi="Times New Roman" w:eastAsia="宋体" w:cs="Times New Roman"/>
                <w:b/>
                <w:bCs/>
                <w:color w:val="000000"/>
                <w:sz w:val="22"/>
                <w:szCs w:val="22"/>
                <w:lang w:val="en-US" w:eastAsia="zh-CN"/>
              </w:rPr>
              <w:t>Afternoon</w:t>
            </w:r>
          </w:p>
        </w:tc>
        <w:tc>
          <w:tcPr>
            <w:tcW w:w="1900" w:type="dxa"/>
            <w:vMerge w:val="continue"/>
            <w:tcBorders>
              <w:left w:val="single" w:color="000000" w:sz="4" w:space="0"/>
              <w:bottom w:val="single" w:color="000000" w:sz="4" w:space="0"/>
              <w:right w:val="single" w:color="000000" w:sz="4" w:space="0"/>
            </w:tcBorders>
            <w:shd w:val="clear" w:color="auto" w:fill="auto"/>
            <w:vAlign w:val="top"/>
          </w:tcPr>
          <w:p>
            <w:pPr>
              <w:jc w:val="center"/>
              <w:rPr>
                <w:rFonts w:hint="default" w:eastAsia="宋体" w:cs="Times New Roman"/>
                <w:color w:val="000000"/>
                <w:sz w:val="24"/>
                <w:szCs w:val="24"/>
                <w:lang w:val="en-US" w:eastAsia="zh-CN" w:bidi="ar-SA"/>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default" w:ascii="Times New Roman" w:hAnsi="Times New Roman" w:eastAsia="宋体" w:cs="Times New Roman"/>
                <w:color w:val="000000"/>
                <w:sz w:val="24"/>
                <w:szCs w:val="24"/>
                <w:lang w:val="en-US" w:eastAsia="zh-CN"/>
              </w:rPr>
            </w:pPr>
            <w:r>
              <w:rPr>
                <w:rFonts w:hint="eastAsia" w:eastAsia="宋体" w:cs="Times New Roman"/>
                <w:color w:val="000000"/>
                <w:sz w:val="24"/>
                <w:szCs w:val="24"/>
                <w:lang w:val="en-US" w:eastAsia="zh-CN"/>
              </w:rPr>
              <w:t>Free Time</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544"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14:00-15:00</w:t>
            </w:r>
          </w:p>
          <w:p>
            <w:pPr>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Open Session</w:t>
            </w:r>
          </w:p>
        </w:tc>
        <w:tc>
          <w:tcPr>
            <w:tcW w:w="1198" w:type="dxa"/>
            <w:vMerge w:val="continue"/>
            <w:tcBorders>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486"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eastAsia="zh-CN" w:bidi="ar-SA"/>
              </w:rPr>
            </w:pPr>
            <w:r>
              <w:rPr>
                <w:rFonts w:hint="eastAsia" w:ascii="Times New Roman" w:hAnsi="Times New Roman" w:eastAsia="宋体" w:cs="Times New Roman"/>
                <w:b/>
                <w:bCs/>
                <w:color w:val="000000"/>
                <w:sz w:val="24"/>
                <w:szCs w:val="24"/>
                <w:lang w:val="en-US" w:eastAsia="zh-CN"/>
              </w:rPr>
              <w:t>Time</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Sun</w:t>
            </w:r>
            <w:r>
              <w:rPr>
                <w:rFonts w:hint="eastAsia" w:eastAsia="宋体" w:cs="Times New Roman"/>
                <w:b/>
                <w:bCs/>
                <w:color w:val="000000"/>
                <w:sz w:val="24"/>
                <w:szCs w:val="24"/>
                <w:lang w:val="en-US" w:eastAsia="zh-CN" w:bidi="ar"/>
              </w:rPr>
              <w:t>.</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Mon</w:t>
            </w:r>
            <w:r>
              <w:rPr>
                <w:rFonts w:hint="eastAsia" w:eastAsia="宋体" w:cs="Times New Roman"/>
                <w:b/>
                <w:bCs/>
                <w:color w:val="000000"/>
                <w:sz w:val="24"/>
                <w:szCs w:val="24"/>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Tues</w:t>
            </w:r>
            <w:r>
              <w:rPr>
                <w:rFonts w:hint="eastAsia" w:eastAsia="宋体" w:cs="Times New Roman"/>
                <w:b/>
                <w:bCs/>
                <w:color w:val="000000"/>
                <w:sz w:val="24"/>
                <w:szCs w:val="24"/>
                <w:lang w:val="en-US" w:eastAsia="zh-CN" w:bidi="ar"/>
              </w:rPr>
              <w:t>.</w:t>
            </w:r>
          </w:p>
        </w:tc>
        <w:tc>
          <w:tcPr>
            <w:tcW w:w="1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Wed</w:t>
            </w:r>
            <w:r>
              <w:rPr>
                <w:rFonts w:hint="eastAsia" w:eastAsia="宋体" w:cs="Times New Roman"/>
                <w:b/>
                <w:bCs/>
                <w:color w:val="000000"/>
                <w:sz w:val="24"/>
                <w:szCs w:val="24"/>
                <w:lang w:val="en-US" w:eastAsia="zh-CN" w:bidi="ar"/>
              </w:rPr>
              <w:t>.</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Thurs</w:t>
            </w:r>
            <w:r>
              <w:rPr>
                <w:rFonts w:hint="eastAsia" w:eastAsia="宋体" w:cs="Times New Roman"/>
                <w:b/>
                <w:bCs/>
                <w:color w:val="000000"/>
                <w:sz w:val="24"/>
                <w:szCs w:val="24"/>
                <w:lang w:val="en-US" w:eastAsia="zh-CN" w:bidi="ar"/>
              </w:rPr>
              <w:t>.</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Fri</w:t>
            </w:r>
            <w:r>
              <w:rPr>
                <w:rFonts w:hint="eastAsia" w:eastAsia="宋体" w:cs="Times New Roman"/>
                <w:b/>
                <w:bCs/>
                <w:color w:val="000000"/>
                <w:sz w:val="24"/>
                <w:szCs w:val="24"/>
                <w:lang w:val="en-US" w:eastAsia="zh-CN" w:bidi="ar"/>
              </w:rPr>
              <w:t>.</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Sat.</w:t>
            </w:r>
          </w:p>
        </w:tc>
      </w:tr>
      <w:tr>
        <w:tblPrEx>
          <w:tblCellMar>
            <w:top w:w="0" w:type="dxa"/>
            <w:left w:w="108" w:type="dxa"/>
            <w:bottom w:w="0" w:type="dxa"/>
            <w:right w:w="108" w:type="dxa"/>
          </w:tblCellMar>
        </w:tblPrEx>
        <w:trPr>
          <w:trHeight w:val="486"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textAlignment w:val="center"/>
              <w:rPr>
                <w:rFonts w:ascii="Times New Roman" w:hAnsi="Times New Roman" w:eastAsia="宋体" w:cs="Times New Roman"/>
                <w:b/>
                <w:bCs/>
                <w:color w:val="000000"/>
                <w:sz w:val="24"/>
                <w:szCs w:val="24"/>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hint="eastAsia" w:ascii="Times New Roman" w:hAnsi="Times New Roman" w:eastAsia="宋体" w:cs="Times New Roman"/>
                <w:b/>
                <w:bCs/>
                <w:color w:val="000000"/>
                <w:sz w:val="24"/>
                <w:szCs w:val="24"/>
                <w:lang w:val="en-US" w:eastAsia="zh-CN" w:bidi="ar"/>
              </w:rPr>
              <w:t>6.25</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val="en-US" w:eastAsia="zh-CN" w:bidi="ar"/>
              </w:rPr>
              <w:t>6</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26</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val="en-US" w:eastAsia="zh-CN" w:bidi="ar"/>
              </w:rPr>
              <w:t>6</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27</w:t>
            </w:r>
          </w:p>
        </w:tc>
        <w:tc>
          <w:tcPr>
            <w:tcW w:w="1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val="en-US" w:eastAsia="zh-CN" w:bidi="ar"/>
              </w:rPr>
              <w:t>6</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28</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val="en-US" w:eastAsia="zh-CN" w:bidi="ar"/>
              </w:rPr>
              <w:t>6</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29</w:t>
            </w:r>
          </w:p>
        </w:tc>
        <w:tc>
          <w:tcPr>
            <w:tcW w:w="154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val="en-US" w:eastAsia="zh-CN" w:bidi="ar"/>
              </w:rPr>
              <w:t>6</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30</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val="en-US" w:eastAsia="zh-CN" w:bidi="ar"/>
              </w:rPr>
              <w:t>7</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1</w:t>
            </w:r>
          </w:p>
        </w:tc>
      </w:tr>
      <w:tr>
        <w:tblPrEx>
          <w:tblCellMar>
            <w:top w:w="0" w:type="dxa"/>
            <w:left w:w="108" w:type="dxa"/>
            <w:bottom w:w="0" w:type="dxa"/>
            <w:right w:w="108" w:type="dxa"/>
          </w:tblCellMar>
        </w:tblPrEx>
        <w:trPr>
          <w:trHeight w:val="3353"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24"/>
                <w:szCs w:val="24"/>
              </w:rPr>
            </w:pPr>
            <w:r>
              <w:rPr>
                <w:rFonts w:hint="eastAsia" w:ascii="Times New Roman" w:hAnsi="Times New Roman" w:eastAsia="宋体" w:cs="Times New Roman"/>
                <w:b/>
                <w:bCs/>
                <w:color w:val="000000"/>
                <w:sz w:val="22"/>
                <w:szCs w:val="22"/>
                <w:lang w:val="en-US" w:eastAsia="zh-CN"/>
              </w:rPr>
              <w:t>Morning</w:t>
            </w:r>
          </w:p>
        </w:tc>
        <w:tc>
          <w:tcPr>
            <w:tcW w:w="1900" w:type="dxa"/>
            <w:vMerge w:val="restart"/>
            <w:tcBorders>
              <w:top w:val="single" w:color="000000" w:sz="4" w:space="0"/>
              <w:left w:val="single" w:color="000000" w:sz="4" w:space="0"/>
              <w:right w:val="single" w:color="000000" w:sz="4" w:space="0"/>
            </w:tcBorders>
            <w:shd w:val="clear" w:color="auto" w:fill="auto"/>
            <w:vAlign w:val="top"/>
          </w:tcPr>
          <w:p>
            <w:pPr>
              <w:jc w:val="center"/>
              <w:rPr>
                <w:rFonts w:hint="default" w:ascii="Times New Roman" w:hAnsi="Times New Roman" w:eastAsia="宋体" w:cs="Times New Roman"/>
                <w:color w:val="000000"/>
                <w:sz w:val="24"/>
                <w:szCs w:val="24"/>
                <w:lang w:val="en-US" w:eastAsia="zh-CN" w:bidi="ar-SA"/>
              </w:rPr>
            </w:pPr>
            <w:r>
              <w:rPr>
                <w:rFonts w:hint="eastAsia" w:ascii="Times New Roman" w:hAnsi="Times New Roman" w:eastAsia="宋体" w:cs="Times New Roman"/>
                <w:color w:val="000000"/>
                <w:sz w:val="24"/>
                <w:szCs w:val="24"/>
                <w:lang w:val="en-US" w:eastAsia="zh-CN" w:bidi="ar-SA"/>
              </w:rPr>
              <w:t>Visit the Summer Palace</w:t>
            </w:r>
          </w:p>
        </w:tc>
        <w:tc>
          <w:tcPr>
            <w:tcW w:w="2456"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Trade Liberalization I</w:t>
            </w:r>
          </w:p>
        </w:tc>
        <w:tc>
          <w:tcPr>
            <w:tcW w:w="1800"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Trade Liberalization II</w:t>
            </w:r>
          </w:p>
        </w:tc>
        <w:tc>
          <w:tcPr>
            <w:tcW w:w="1477"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Developing countries and the WTO</w:t>
            </w:r>
          </w:p>
        </w:tc>
        <w:tc>
          <w:tcPr>
            <w:tcW w:w="1734" w:type="dxa"/>
            <w:tcBorders>
              <w:top w:val="single" w:color="000000" w:sz="4" w:space="0"/>
              <w:left w:val="single" w:color="000000" w:sz="4" w:space="0"/>
              <w:bottom w:val="single" w:color="000000" w:sz="4" w:space="0"/>
              <w:right w:val="single" w:color="auto" w:sz="4" w:space="0"/>
            </w:tcBorders>
            <w:shd w:val="clear" w:color="auto" w:fill="DAE3F3" w:themeFill="accent1" w:themeFillTint="32"/>
            <w:vAlign w:val="top"/>
          </w:tcPr>
          <w:p>
            <w:pPr>
              <w:jc w:val="both"/>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both"/>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Multilateral Trade Negotiations</w:t>
            </w:r>
          </w:p>
        </w:tc>
        <w:tc>
          <w:tcPr>
            <w:tcW w:w="1544" w:type="dxa"/>
            <w:tcBorders>
              <w:top w:val="single" w:color="auto" w:sz="4" w:space="0"/>
              <w:left w:val="single" w:color="auto" w:sz="4" w:space="0"/>
              <w:bottom w:val="single" w:color="auto" w:sz="4" w:space="0"/>
              <w:right w:val="single" w:color="auto"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default"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World Trade Organization: Doha Round</w:t>
            </w:r>
          </w:p>
        </w:tc>
        <w:tc>
          <w:tcPr>
            <w:tcW w:w="1198" w:type="dxa"/>
            <w:vMerge w:val="restart"/>
            <w:tcBorders>
              <w:top w:val="single" w:color="000000" w:sz="4" w:space="0"/>
              <w:left w:val="single" w:color="auto" w:sz="4" w:space="0"/>
              <w:right w:val="single" w:color="000000" w:sz="4" w:space="0"/>
            </w:tcBorders>
            <w:shd w:val="clear" w:color="auto" w:fill="auto"/>
            <w:vAlign w:val="top"/>
          </w:tcPr>
          <w:p>
            <w:pPr>
              <w:jc w:val="center"/>
              <w:textAlignment w:val="center"/>
              <w:rPr>
                <w:rFonts w:hint="default" w:eastAsia="宋体" w:cs="Times New Roman"/>
                <w:color w:val="000000"/>
                <w:sz w:val="24"/>
                <w:szCs w:val="24"/>
                <w:lang w:val="en-US" w:eastAsia="zh-CN"/>
              </w:rPr>
            </w:pPr>
            <w:r>
              <w:rPr>
                <w:rFonts w:hint="eastAsia" w:eastAsia="宋体" w:cs="Times New Roman"/>
                <w:color w:val="000000"/>
                <w:sz w:val="24"/>
                <w:szCs w:val="24"/>
                <w:lang w:val="en-US" w:eastAsia="zh-CN"/>
              </w:rPr>
              <w:t>Free Time</w:t>
            </w:r>
          </w:p>
        </w:tc>
      </w:tr>
      <w:tr>
        <w:tblPrEx>
          <w:tblCellMar>
            <w:top w:w="0" w:type="dxa"/>
            <w:left w:w="108" w:type="dxa"/>
            <w:bottom w:w="0" w:type="dxa"/>
            <w:right w:w="108" w:type="dxa"/>
          </w:tblCellMar>
        </w:tblPrEx>
        <w:trPr>
          <w:trHeight w:val="1281" w:hRule="atLeast"/>
          <w:jc w:val="center"/>
        </w:trPr>
        <w:tc>
          <w:tcPr>
            <w:tcW w:w="124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ascii="Times New Roman" w:hAnsi="Times New Roman" w:eastAsia="宋体" w:cs="Times New Roman"/>
                <w:color w:val="000000"/>
                <w:sz w:val="24"/>
                <w:szCs w:val="24"/>
              </w:rPr>
            </w:pPr>
            <w:r>
              <w:rPr>
                <w:rFonts w:hint="eastAsia" w:ascii="Times New Roman" w:hAnsi="Times New Roman" w:eastAsia="宋体" w:cs="Times New Roman"/>
                <w:b/>
                <w:bCs/>
                <w:color w:val="000000"/>
                <w:sz w:val="22"/>
                <w:szCs w:val="22"/>
                <w:lang w:val="en-US" w:eastAsia="zh-CN"/>
              </w:rPr>
              <w:t>Afternoon</w:t>
            </w:r>
          </w:p>
        </w:tc>
        <w:tc>
          <w:tcPr>
            <w:tcW w:w="1900"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hint="eastAsia" w:ascii="Times New Roman" w:hAnsi="Times New Roman" w:eastAsia="宋体" w:cs="Times New Roman"/>
                <w:color w:val="000000"/>
                <w:sz w:val="24"/>
                <w:szCs w:val="24"/>
                <w:lang w:val="en-US" w:eastAsia="zh-CN" w:bidi="ar-SA"/>
              </w:rPr>
            </w:pPr>
          </w:p>
        </w:tc>
        <w:tc>
          <w:tcPr>
            <w:tcW w:w="2456" w:type="dxa"/>
            <w:tcBorders>
              <w:top w:val="single" w:color="000000" w:sz="4" w:space="0"/>
              <w:left w:val="single" w:color="000000" w:sz="4" w:space="0"/>
              <w:bottom w:val="single" w:color="auto" w:sz="4" w:space="0"/>
              <w:right w:val="single" w:color="000000" w:sz="4" w:space="0"/>
            </w:tcBorders>
            <w:shd w:val="clear" w:color="auto" w:fill="auto"/>
            <w:vAlign w:val="top"/>
          </w:tcPr>
          <w:p>
            <w:pPr>
              <w:jc w:val="both"/>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both"/>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734" w:type="dxa"/>
            <w:tcBorders>
              <w:top w:val="single" w:color="000000" w:sz="4" w:space="0"/>
              <w:left w:val="single" w:color="000000" w:sz="4" w:space="0"/>
              <w:bottom w:val="single" w:color="000000" w:sz="4" w:space="0"/>
              <w:right w:val="single" w:color="auto" w:sz="4" w:space="0"/>
            </w:tcBorders>
            <w:shd w:val="clear" w:color="auto" w:fill="auto"/>
            <w:vAlign w:val="top"/>
          </w:tcPr>
          <w:p>
            <w:pPr>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544" w:type="dxa"/>
            <w:tcBorders>
              <w:top w:val="single" w:color="auto" w:sz="4" w:space="0"/>
              <w:left w:val="single" w:color="auto" w:sz="4" w:space="0"/>
              <w:bottom w:val="single" w:color="auto" w:sz="4" w:space="0"/>
              <w:right w:val="single" w:color="auto"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14:00-15:00Open Session</w:t>
            </w:r>
          </w:p>
        </w:tc>
        <w:tc>
          <w:tcPr>
            <w:tcW w:w="1198" w:type="dxa"/>
            <w:vMerge w:val="continue"/>
            <w:tcBorders>
              <w:left w:val="single" w:color="auto" w:sz="4" w:space="0"/>
              <w:bottom w:val="single" w:color="auto" w:sz="4" w:space="0"/>
              <w:right w:val="single" w:color="000000" w:sz="4" w:space="0"/>
            </w:tcBorders>
            <w:shd w:val="clear" w:color="auto" w:fill="auto"/>
            <w:vAlign w:val="center"/>
          </w:tcPr>
          <w:p>
            <w:pPr>
              <w:jc w:val="center"/>
              <w:textAlignment w:val="cente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854" w:hRule="atLeast"/>
          <w:jc w:val="center"/>
        </w:trPr>
        <w:tc>
          <w:tcPr>
            <w:tcW w:w="124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hint="eastAsia" w:ascii="Times New Roman" w:hAnsi="Times New Roman" w:eastAsia="宋体" w:cs="Times New Roman"/>
                <w:b/>
                <w:bCs/>
                <w:color w:val="000000"/>
                <w:sz w:val="24"/>
                <w:szCs w:val="24"/>
                <w:lang w:val="en-US" w:eastAsia="zh-CN"/>
              </w:rPr>
              <w:t>Time</w:t>
            </w:r>
          </w:p>
        </w:tc>
        <w:tc>
          <w:tcPr>
            <w:tcW w:w="190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Sun</w:t>
            </w:r>
            <w:r>
              <w:rPr>
                <w:rFonts w:hint="eastAsia" w:eastAsia="宋体" w:cs="Times New Roman"/>
                <w:b/>
                <w:bCs/>
                <w:color w:val="000000"/>
                <w:sz w:val="24"/>
                <w:szCs w:val="24"/>
                <w:lang w:val="en-US" w:eastAsia="zh-CN" w:bidi="ar"/>
              </w:rPr>
              <w:t>.</w:t>
            </w:r>
          </w:p>
        </w:tc>
        <w:tc>
          <w:tcPr>
            <w:tcW w:w="24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Mon</w:t>
            </w:r>
            <w:r>
              <w:rPr>
                <w:rFonts w:hint="eastAsia" w:eastAsia="宋体" w:cs="Times New Roman"/>
                <w:b/>
                <w:bCs/>
                <w:color w:val="000000"/>
                <w:sz w:val="24"/>
                <w:szCs w:val="24"/>
                <w:lang w:val="en-US" w:eastAsia="zh-CN" w:bidi="ar"/>
              </w:rPr>
              <w:t>.</w:t>
            </w:r>
          </w:p>
        </w:tc>
        <w:tc>
          <w:tcPr>
            <w:tcW w:w="180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default"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Tues</w:t>
            </w:r>
            <w:r>
              <w:rPr>
                <w:rFonts w:hint="eastAsia" w:eastAsia="宋体" w:cs="Times New Roman"/>
                <w:b/>
                <w:bCs/>
                <w:color w:val="000000"/>
                <w:sz w:val="24"/>
                <w:szCs w:val="24"/>
                <w:lang w:val="en-US" w:eastAsia="zh-CN" w:bidi="ar"/>
              </w:rPr>
              <w:t>.</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Wed</w:t>
            </w:r>
            <w:r>
              <w:rPr>
                <w:rFonts w:hint="eastAsia" w:eastAsia="宋体" w:cs="Times New Roman"/>
                <w:b/>
                <w:bCs/>
                <w:color w:val="000000"/>
                <w:sz w:val="24"/>
                <w:szCs w:val="24"/>
                <w:lang w:val="en-US" w:eastAsia="zh-CN" w:bidi="ar"/>
              </w:rPr>
              <w:t>.</w:t>
            </w:r>
          </w:p>
        </w:tc>
        <w:tc>
          <w:tcPr>
            <w:tcW w:w="1734"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Thurs</w:t>
            </w:r>
            <w:r>
              <w:rPr>
                <w:rFonts w:hint="eastAsia" w:eastAsia="宋体" w:cs="Times New Roman"/>
                <w:b/>
                <w:bCs/>
                <w:color w:val="000000"/>
                <w:sz w:val="24"/>
                <w:szCs w:val="24"/>
                <w:lang w:val="en-US" w:eastAsia="zh-CN" w:bidi="ar"/>
              </w:rPr>
              <w:t>.</w:t>
            </w:r>
          </w:p>
        </w:tc>
        <w:tc>
          <w:tcPr>
            <w:tcW w:w="154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Fri</w:t>
            </w:r>
            <w:r>
              <w:rPr>
                <w:rFonts w:hint="eastAsia" w:eastAsia="宋体" w:cs="Times New Roman"/>
                <w:b/>
                <w:bCs/>
                <w:color w:val="000000"/>
                <w:sz w:val="24"/>
                <w:szCs w:val="24"/>
                <w:lang w:val="en-US" w:eastAsia="zh-CN" w:bidi="ar"/>
              </w:rPr>
              <w:t>.</w:t>
            </w:r>
          </w:p>
        </w:tc>
        <w:tc>
          <w:tcPr>
            <w:tcW w:w="119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Times New Roman" w:hAnsi="Times New Roman" w:eastAsia="宋体" w:cs="Times New Roman"/>
                <w:b/>
                <w:bCs/>
                <w:color w:val="000000"/>
                <w:sz w:val="24"/>
                <w:szCs w:val="24"/>
                <w:lang w:val="en-US" w:eastAsia="zh-CN" w:bidi="ar-SA"/>
              </w:rPr>
            </w:pPr>
            <w:r>
              <w:rPr>
                <w:rFonts w:ascii="Times New Roman" w:hAnsi="Times New Roman" w:eastAsia="宋体" w:cs="Times New Roman"/>
                <w:b/>
                <w:bCs/>
                <w:color w:val="000000"/>
                <w:sz w:val="24"/>
                <w:szCs w:val="24"/>
                <w:lang w:eastAsia="zh-CN" w:bidi="ar"/>
              </w:rPr>
              <w:t>Sat.</w:t>
            </w:r>
          </w:p>
        </w:tc>
      </w:tr>
      <w:tr>
        <w:tblPrEx>
          <w:tblCellMar>
            <w:top w:w="0" w:type="dxa"/>
            <w:left w:w="108" w:type="dxa"/>
            <w:bottom w:w="0" w:type="dxa"/>
            <w:right w:w="108" w:type="dxa"/>
          </w:tblCellMar>
        </w:tblPrEx>
        <w:trPr>
          <w:trHeight w:val="486" w:hRule="atLeast"/>
          <w:jc w:val="center"/>
        </w:trPr>
        <w:tc>
          <w:tcPr>
            <w:tcW w:w="1244"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both"/>
              <w:textAlignment w:val="center"/>
              <w:rPr>
                <w:rFonts w:hint="default" w:ascii="Times New Roman" w:hAnsi="Times New Roman" w:eastAsia="宋体" w:cs="Times New Roman"/>
                <w:b/>
                <w:bCs/>
                <w:color w:val="000000"/>
                <w:sz w:val="24"/>
                <w:szCs w:val="24"/>
                <w:lang w:val="en-US"/>
              </w:rPr>
            </w:pPr>
          </w:p>
        </w:tc>
        <w:tc>
          <w:tcPr>
            <w:tcW w:w="190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eastAsia="zh-CN" w:bidi="ar-SA"/>
              </w:rPr>
            </w:pPr>
            <w:r>
              <w:rPr>
                <w:rFonts w:hint="eastAsia" w:ascii="Times New Roman" w:hAnsi="Times New Roman" w:eastAsia="宋体" w:cs="Times New Roman"/>
                <w:b/>
                <w:bCs/>
                <w:color w:val="000000"/>
                <w:sz w:val="24"/>
                <w:szCs w:val="24"/>
                <w:lang w:val="en-US" w:eastAsia="zh-CN" w:bidi="ar"/>
              </w:rPr>
              <w:t>7</w:t>
            </w:r>
            <w:r>
              <w:rPr>
                <w:rFonts w:ascii="Times New Roman" w:hAnsi="Times New Roman" w:eastAsia="宋体" w:cs="Times New Roman"/>
                <w:b/>
                <w:bCs/>
                <w:color w:val="000000"/>
                <w:sz w:val="24"/>
                <w:szCs w:val="24"/>
                <w:lang w:eastAsia="zh-CN" w:bidi="ar"/>
              </w:rPr>
              <w:t>.</w:t>
            </w:r>
            <w:r>
              <w:rPr>
                <w:rFonts w:hint="eastAsia" w:ascii="Times New Roman" w:hAnsi="Times New Roman" w:eastAsia="宋体" w:cs="Times New Roman"/>
                <w:b/>
                <w:bCs/>
                <w:color w:val="000000"/>
                <w:sz w:val="24"/>
                <w:szCs w:val="24"/>
                <w:lang w:val="en-US" w:eastAsia="zh-CN" w:bidi="ar"/>
              </w:rPr>
              <w:t>2</w:t>
            </w:r>
          </w:p>
        </w:tc>
        <w:tc>
          <w:tcPr>
            <w:tcW w:w="24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7.</w:t>
            </w:r>
            <w:r>
              <w:rPr>
                <w:rFonts w:hint="eastAsia" w:ascii="Times New Roman" w:hAnsi="Times New Roman" w:eastAsia="宋体" w:cs="Times New Roman"/>
                <w:b/>
                <w:bCs/>
                <w:color w:val="000000"/>
                <w:sz w:val="24"/>
                <w:szCs w:val="24"/>
                <w:lang w:val="en-US" w:eastAsia="zh-CN" w:bidi="ar"/>
              </w:rPr>
              <w:t>3</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7.</w:t>
            </w:r>
            <w:r>
              <w:rPr>
                <w:rFonts w:hint="eastAsia" w:ascii="Times New Roman" w:hAnsi="Times New Roman" w:eastAsia="宋体" w:cs="Times New Roman"/>
                <w:b/>
                <w:bCs/>
                <w:color w:val="000000"/>
                <w:sz w:val="24"/>
                <w:szCs w:val="24"/>
                <w:lang w:val="en-US" w:eastAsia="zh-CN" w:bidi="ar"/>
              </w:rPr>
              <w:t>4</w:t>
            </w:r>
          </w:p>
        </w:tc>
        <w:tc>
          <w:tcPr>
            <w:tcW w:w="14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7.</w:t>
            </w:r>
            <w:r>
              <w:rPr>
                <w:rFonts w:hint="eastAsia" w:ascii="Times New Roman" w:hAnsi="Times New Roman" w:eastAsia="宋体" w:cs="Times New Roman"/>
                <w:b/>
                <w:bCs/>
                <w:color w:val="000000"/>
                <w:sz w:val="24"/>
                <w:szCs w:val="24"/>
                <w:lang w:val="en-US" w:eastAsia="zh-CN" w:bidi="ar"/>
              </w:rPr>
              <w:t>5</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ascii="Times New Roman" w:hAnsi="Times New Roman" w:eastAsia="宋体" w:cs="Times New Roman"/>
                <w:b/>
                <w:bCs/>
                <w:color w:val="000000"/>
                <w:sz w:val="24"/>
                <w:szCs w:val="24"/>
                <w:lang w:eastAsia="zh-CN" w:bidi="ar"/>
              </w:rPr>
              <w:t>7.</w:t>
            </w:r>
            <w:r>
              <w:rPr>
                <w:rFonts w:hint="eastAsia" w:ascii="Times New Roman" w:hAnsi="Times New Roman" w:eastAsia="宋体" w:cs="Times New Roman"/>
                <w:b/>
                <w:bCs/>
                <w:color w:val="000000"/>
                <w:sz w:val="24"/>
                <w:szCs w:val="24"/>
                <w:lang w:val="en-US" w:eastAsia="zh-CN" w:bidi="ar"/>
              </w:rPr>
              <w:t>6</w:t>
            </w:r>
          </w:p>
        </w:tc>
        <w:tc>
          <w:tcPr>
            <w:tcW w:w="1544"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lang w:eastAsia="zh-CN"/>
              </w:rPr>
              <w:t>7.</w:t>
            </w:r>
            <w:r>
              <w:rPr>
                <w:rFonts w:hint="eastAsia" w:ascii="Times New Roman" w:hAnsi="Times New Roman" w:eastAsia="宋体" w:cs="Times New Roman"/>
                <w:b/>
                <w:bCs/>
                <w:color w:val="000000"/>
                <w:sz w:val="24"/>
                <w:szCs w:val="24"/>
                <w:lang w:val="en-US" w:eastAsia="zh-CN"/>
              </w:rPr>
              <w:t>7</w:t>
            </w:r>
          </w:p>
        </w:tc>
        <w:tc>
          <w:tcPr>
            <w:tcW w:w="1198"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Times New Roman" w:hAnsi="Times New Roman" w:eastAsia="宋体" w:cs="Times New Roman"/>
                <w:b/>
                <w:bCs/>
                <w:color w:val="000000"/>
                <w:sz w:val="24"/>
                <w:szCs w:val="24"/>
                <w:lang w:val="en-US"/>
              </w:rPr>
            </w:pPr>
            <w:r>
              <w:rPr>
                <w:rFonts w:hint="eastAsia" w:ascii="Times New Roman" w:hAnsi="Times New Roman" w:eastAsia="宋体" w:cs="Times New Roman"/>
                <w:b/>
                <w:bCs/>
                <w:color w:val="000000"/>
                <w:sz w:val="24"/>
                <w:szCs w:val="24"/>
                <w:lang w:eastAsia="zh-CN"/>
              </w:rPr>
              <w:t>7.</w:t>
            </w:r>
            <w:r>
              <w:rPr>
                <w:rFonts w:hint="eastAsia" w:eastAsia="宋体" w:cs="Times New Roman"/>
                <w:b/>
                <w:bCs/>
                <w:color w:val="000000"/>
                <w:sz w:val="24"/>
                <w:szCs w:val="24"/>
                <w:lang w:val="en-US" w:eastAsia="zh-CN"/>
              </w:rPr>
              <w:t>8</w:t>
            </w:r>
          </w:p>
        </w:tc>
      </w:tr>
      <w:tr>
        <w:tblPrEx>
          <w:tblCellMar>
            <w:top w:w="0" w:type="dxa"/>
            <w:left w:w="108" w:type="dxa"/>
            <w:bottom w:w="0" w:type="dxa"/>
            <w:right w:w="108" w:type="dxa"/>
          </w:tblCellMar>
        </w:tblPrEx>
        <w:trPr>
          <w:trHeight w:val="1418"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24"/>
                <w:szCs w:val="24"/>
              </w:rPr>
            </w:pPr>
            <w:r>
              <w:rPr>
                <w:rFonts w:hint="eastAsia" w:ascii="Times New Roman" w:hAnsi="Times New Roman" w:eastAsia="宋体" w:cs="Times New Roman"/>
                <w:b/>
                <w:bCs/>
                <w:color w:val="000000"/>
                <w:sz w:val="22"/>
                <w:szCs w:val="22"/>
                <w:lang w:val="en-US" w:eastAsia="zh-CN"/>
              </w:rPr>
              <w:t>Morning</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rPr>
                <w:rFonts w:hint="default" w:ascii="Times New Roman" w:hAnsi="Times New Roman" w:eastAsia="宋体" w:cs="Times New Roman"/>
                <w:color w:val="000000"/>
                <w:sz w:val="24"/>
                <w:szCs w:val="24"/>
                <w:lang w:val="en-US" w:eastAsia="zh-CN" w:bidi="ar-SA"/>
              </w:rPr>
            </w:pPr>
          </w:p>
        </w:tc>
        <w:tc>
          <w:tcPr>
            <w:tcW w:w="2456"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World Trade Organization: The Future of Multilateralism</w:t>
            </w:r>
          </w:p>
        </w:tc>
        <w:tc>
          <w:tcPr>
            <w:tcW w:w="1800"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World Trade Organization: the Cotton Dispute</w:t>
            </w:r>
          </w:p>
        </w:tc>
        <w:tc>
          <w:tcPr>
            <w:tcW w:w="1477"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China and the World Trade Organization</w:t>
            </w:r>
          </w:p>
        </w:tc>
        <w:tc>
          <w:tcPr>
            <w:tcW w:w="1734"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United States Trade Policy After Doha: The case of the Section 232 Steel and Aluminum Tariffs</w:t>
            </w:r>
          </w:p>
        </w:tc>
        <w:tc>
          <w:tcPr>
            <w:tcW w:w="1544" w:type="dxa"/>
            <w:tcBorders>
              <w:top w:val="single" w:color="000000" w:sz="4" w:space="0"/>
              <w:left w:val="single" w:color="000000" w:sz="4" w:space="0"/>
              <w:bottom w:val="single" w:color="000000" w:sz="4" w:space="0"/>
              <w:right w:val="single" w:color="000000" w:sz="4" w:space="0"/>
            </w:tcBorders>
            <w:shd w:val="clear" w:color="auto" w:fill="DAE3F3" w:themeFill="accent1" w:themeFillTint="32"/>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9:00-11:00</w:t>
            </w:r>
          </w:p>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Climate Change and the Future of Trade Liberalization</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jc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Departure</w:t>
            </w:r>
          </w:p>
          <w:p>
            <w:pPr>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From Beijing</w:t>
            </w:r>
          </w:p>
        </w:tc>
      </w:tr>
      <w:tr>
        <w:tblPrEx>
          <w:tblCellMar>
            <w:top w:w="0" w:type="dxa"/>
            <w:left w:w="108" w:type="dxa"/>
            <w:bottom w:w="0" w:type="dxa"/>
            <w:right w:w="108" w:type="dxa"/>
          </w:tblCellMar>
        </w:tblPrEx>
        <w:trPr>
          <w:trHeight w:val="1418"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24"/>
                <w:szCs w:val="24"/>
              </w:rPr>
            </w:pPr>
            <w:r>
              <w:rPr>
                <w:rFonts w:hint="eastAsia" w:ascii="Times New Roman" w:hAnsi="Times New Roman" w:eastAsia="宋体" w:cs="Times New Roman"/>
                <w:b/>
                <w:bCs/>
                <w:color w:val="000000"/>
                <w:sz w:val="22"/>
                <w:szCs w:val="22"/>
                <w:lang w:val="en-US" w:eastAsia="zh-CN"/>
              </w:rPr>
              <w:t>Afternoon</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rPr>
                <w:rFonts w:hint="default" w:ascii="Times New Roman" w:hAnsi="Times New Roman" w:eastAsia="宋体" w:cs="Times New Roman"/>
                <w:color w:val="000000"/>
                <w:sz w:val="24"/>
                <w:szCs w:val="24"/>
                <w:lang w:val="en-US" w:eastAsia="zh-CN" w:bidi="ar-SA"/>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eastAsia" w:ascii="Times New Roman" w:hAnsi="Times New Roman" w:eastAsia="宋体" w:cs="Times New Roman"/>
                <w:color w:val="000000"/>
                <w:sz w:val="24"/>
                <w:szCs w:val="24"/>
                <w:lang w:val="en-US" w:eastAsia="zh-CN" w:bidi="ar-SA"/>
              </w:rPr>
            </w:pPr>
            <w:r>
              <w:rPr>
                <w:rFonts w:hint="eastAsia" w:ascii="Times New Roman" w:hAnsi="Times New Roman" w:eastAsia="宋体" w:cs="Times New Roman"/>
                <w:color w:val="000000"/>
                <w:sz w:val="24"/>
                <w:szCs w:val="24"/>
                <w:lang w:val="en-US" w:eastAsia="zh-CN"/>
              </w:rPr>
              <w:t>Free time</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734"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Free time</w:t>
            </w:r>
          </w:p>
        </w:tc>
        <w:tc>
          <w:tcPr>
            <w:tcW w:w="1544" w:type="dxa"/>
            <w:tcBorders>
              <w:top w:val="single" w:color="000000" w:sz="4" w:space="0"/>
              <w:left w:val="single" w:color="000000" w:sz="4" w:space="0"/>
              <w:bottom w:val="single" w:color="000000" w:sz="4" w:space="0"/>
              <w:right w:val="single" w:color="000000" w:sz="4" w:space="0"/>
            </w:tcBorders>
            <w:shd w:val="clear" w:color="auto" w:fill="FBE5D6" w:themeFill="accent2" w:themeFillTint="32"/>
            <w:vAlign w:val="top"/>
          </w:tcPr>
          <w:p>
            <w:pPr>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Program Closing Ceremony</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24"/>
                <w:szCs w:val="24"/>
              </w:rPr>
            </w:pPr>
          </w:p>
        </w:tc>
      </w:tr>
    </w:tbl>
    <w:p>
      <w:pPr>
        <w:spacing w:after="0" w:line="240" w:lineRule="auto"/>
        <w:rPr>
          <w:rFonts w:ascii="Times New Roman" w:hAnsi="Times New Roman" w:eastAsia="Times New Roman" w:cs="Times New Roman"/>
          <w:sz w:val="24"/>
          <w:szCs w:val="24"/>
        </w:rPr>
      </w:pPr>
    </w:p>
    <w:sectPr>
      <w:pgSz w:w="15840" w:h="12240" w:orient="landscape"/>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B0604020202020204"/>
    <w:charset w:val="00"/>
    <w:family w:val="auto"/>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ndara">
    <w:panose1 w:val="020E0502030303020204"/>
    <w:charset w:val="00"/>
    <w:family w:val="swiss"/>
    <w:pitch w:val="default"/>
    <w:sig w:usb0="A00002EF" w:usb1="4000A44B" w:usb2="00000000" w:usb3="00000000" w:csb0="200001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8650096"/>
    </w:sdtPr>
    <w:sdtContent>
      <w:sdt>
        <w:sdtPr>
          <w:id w:val="-1669238322"/>
        </w:sdtPr>
        <w:sdtContent>
          <w:p>
            <w:pPr>
              <w:pStyle w:val="6"/>
              <w:jc w:val="center"/>
            </w:pPr>
            <w:r>
              <w:rPr>
                <w:lang w:val="zh-CN" w:eastAsia="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eastAsia="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sdtContent>
      </w:sdt>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10738549" o:spid="_x0000_s1026" o:spt="136" type="#_x0000_t136" style="position:absolute;left:0pt;height:188.5pt;width:471.3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DRAFT" style="font-size:1pt;v-text-align:center;"/>
        </v:shape>
      </w:pict>
    </w:r>
  </w:p>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4106FD"/>
    <w:multiLevelType w:val="multilevel"/>
    <w:tmpl w:val="454106F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documentProtection w:enforcement="0"/>
  <w:defaultTabStop w:val="720"/>
  <w:noPunctuationKerning w:val="1"/>
  <w:characterSpacingControl w:val="doNotCompress"/>
  <w:hdrShapeDefaults>
    <o:shapelayout v:ext="edit">
      <o:idmap v:ext="edit" data="1"/>
    </o:shapelayout>
  </w:hdrShapeDefault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2MjM1YjU5YjFiM2E1NWM1ZDAzY2NhMmVlNmNhM2QifQ=="/>
  </w:docVars>
  <w:rsids>
    <w:rsidRoot w:val="002B19C1"/>
    <w:rsid w:val="00004F1B"/>
    <w:rsid w:val="000054F0"/>
    <w:rsid w:val="00006C1C"/>
    <w:rsid w:val="000178F2"/>
    <w:rsid w:val="00036165"/>
    <w:rsid w:val="00053F57"/>
    <w:rsid w:val="00075B87"/>
    <w:rsid w:val="00084D62"/>
    <w:rsid w:val="000A1C84"/>
    <w:rsid w:val="000C0489"/>
    <w:rsid w:val="000C1070"/>
    <w:rsid w:val="000C3D23"/>
    <w:rsid w:val="000C4592"/>
    <w:rsid w:val="000D0A1C"/>
    <w:rsid w:val="000D21CA"/>
    <w:rsid w:val="000D3529"/>
    <w:rsid w:val="000E1F44"/>
    <w:rsid w:val="000F5CE5"/>
    <w:rsid w:val="00105074"/>
    <w:rsid w:val="00111FAF"/>
    <w:rsid w:val="00122040"/>
    <w:rsid w:val="00137B73"/>
    <w:rsid w:val="00141276"/>
    <w:rsid w:val="0014569D"/>
    <w:rsid w:val="00153E42"/>
    <w:rsid w:val="001830B6"/>
    <w:rsid w:val="00184381"/>
    <w:rsid w:val="00194C45"/>
    <w:rsid w:val="00194FBA"/>
    <w:rsid w:val="001B1098"/>
    <w:rsid w:val="001B3567"/>
    <w:rsid w:val="001B6328"/>
    <w:rsid w:val="001B7730"/>
    <w:rsid w:val="001C5C6E"/>
    <w:rsid w:val="001D6AAB"/>
    <w:rsid w:val="001F5C06"/>
    <w:rsid w:val="001F7352"/>
    <w:rsid w:val="00201BA9"/>
    <w:rsid w:val="002105C7"/>
    <w:rsid w:val="00216CAC"/>
    <w:rsid w:val="00222CAB"/>
    <w:rsid w:val="00235613"/>
    <w:rsid w:val="002577D8"/>
    <w:rsid w:val="00267B8F"/>
    <w:rsid w:val="002805A6"/>
    <w:rsid w:val="002914C2"/>
    <w:rsid w:val="002969AD"/>
    <w:rsid w:val="002A57F5"/>
    <w:rsid w:val="002A5B05"/>
    <w:rsid w:val="002B0E10"/>
    <w:rsid w:val="002B19C1"/>
    <w:rsid w:val="002E604E"/>
    <w:rsid w:val="003038F3"/>
    <w:rsid w:val="00324F0F"/>
    <w:rsid w:val="003253E3"/>
    <w:rsid w:val="003423DD"/>
    <w:rsid w:val="0034457C"/>
    <w:rsid w:val="0036354E"/>
    <w:rsid w:val="003649ED"/>
    <w:rsid w:val="00367999"/>
    <w:rsid w:val="0038002B"/>
    <w:rsid w:val="0038111B"/>
    <w:rsid w:val="00396C08"/>
    <w:rsid w:val="003B2FC1"/>
    <w:rsid w:val="003B5A14"/>
    <w:rsid w:val="003C0D15"/>
    <w:rsid w:val="003C1E13"/>
    <w:rsid w:val="003C5F85"/>
    <w:rsid w:val="003C6F0A"/>
    <w:rsid w:val="003D0DE6"/>
    <w:rsid w:val="003D7B06"/>
    <w:rsid w:val="003E55C7"/>
    <w:rsid w:val="003F2F87"/>
    <w:rsid w:val="003F43B7"/>
    <w:rsid w:val="003F7AD8"/>
    <w:rsid w:val="004026CA"/>
    <w:rsid w:val="00402DF7"/>
    <w:rsid w:val="0040311D"/>
    <w:rsid w:val="004271BA"/>
    <w:rsid w:val="00446497"/>
    <w:rsid w:val="00450F77"/>
    <w:rsid w:val="0048298E"/>
    <w:rsid w:val="00483777"/>
    <w:rsid w:val="00486F94"/>
    <w:rsid w:val="00497103"/>
    <w:rsid w:val="004A2C79"/>
    <w:rsid w:val="004A394F"/>
    <w:rsid w:val="004D64FE"/>
    <w:rsid w:val="004E3B2F"/>
    <w:rsid w:val="004F1974"/>
    <w:rsid w:val="005043EC"/>
    <w:rsid w:val="005071E2"/>
    <w:rsid w:val="00517552"/>
    <w:rsid w:val="00523B25"/>
    <w:rsid w:val="00530CB9"/>
    <w:rsid w:val="00530FD3"/>
    <w:rsid w:val="00533C52"/>
    <w:rsid w:val="005373F0"/>
    <w:rsid w:val="005472A5"/>
    <w:rsid w:val="005631D2"/>
    <w:rsid w:val="00573E72"/>
    <w:rsid w:val="00581110"/>
    <w:rsid w:val="005912E2"/>
    <w:rsid w:val="005936BB"/>
    <w:rsid w:val="005A284A"/>
    <w:rsid w:val="005A6FBE"/>
    <w:rsid w:val="005E450E"/>
    <w:rsid w:val="005E504B"/>
    <w:rsid w:val="00601A49"/>
    <w:rsid w:val="006034DE"/>
    <w:rsid w:val="00622324"/>
    <w:rsid w:val="00624FF6"/>
    <w:rsid w:val="0062748D"/>
    <w:rsid w:val="00640A01"/>
    <w:rsid w:val="00642531"/>
    <w:rsid w:val="00651ACA"/>
    <w:rsid w:val="0065313A"/>
    <w:rsid w:val="00657AE7"/>
    <w:rsid w:val="00662DA0"/>
    <w:rsid w:val="006647B0"/>
    <w:rsid w:val="00676F03"/>
    <w:rsid w:val="00683423"/>
    <w:rsid w:val="006C3EF9"/>
    <w:rsid w:val="006D22E3"/>
    <w:rsid w:val="006E58E4"/>
    <w:rsid w:val="00712DA7"/>
    <w:rsid w:val="007145F8"/>
    <w:rsid w:val="00720334"/>
    <w:rsid w:val="0072337F"/>
    <w:rsid w:val="00726530"/>
    <w:rsid w:val="007266E9"/>
    <w:rsid w:val="00732656"/>
    <w:rsid w:val="00734361"/>
    <w:rsid w:val="00736B60"/>
    <w:rsid w:val="007406B0"/>
    <w:rsid w:val="007510D9"/>
    <w:rsid w:val="00755411"/>
    <w:rsid w:val="00762577"/>
    <w:rsid w:val="00765080"/>
    <w:rsid w:val="0077051E"/>
    <w:rsid w:val="007760A0"/>
    <w:rsid w:val="007762CA"/>
    <w:rsid w:val="007E5EE8"/>
    <w:rsid w:val="007F3263"/>
    <w:rsid w:val="00816971"/>
    <w:rsid w:val="008238B2"/>
    <w:rsid w:val="00841C64"/>
    <w:rsid w:val="00874A38"/>
    <w:rsid w:val="008A3E0F"/>
    <w:rsid w:val="008A47F3"/>
    <w:rsid w:val="008A4E95"/>
    <w:rsid w:val="009146BC"/>
    <w:rsid w:val="00925C5F"/>
    <w:rsid w:val="00932D09"/>
    <w:rsid w:val="00934727"/>
    <w:rsid w:val="00937374"/>
    <w:rsid w:val="00944EC1"/>
    <w:rsid w:val="00993214"/>
    <w:rsid w:val="00993883"/>
    <w:rsid w:val="009955D8"/>
    <w:rsid w:val="009B4183"/>
    <w:rsid w:val="009C3C5A"/>
    <w:rsid w:val="009D1FEE"/>
    <w:rsid w:val="009E5DEF"/>
    <w:rsid w:val="009E767A"/>
    <w:rsid w:val="009F4A78"/>
    <w:rsid w:val="00A001E4"/>
    <w:rsid w:val="00A4395E"/>
    <w:rsid w:val="00A5089D"/>
    <w:rsid w:val="00A5160F"/>
    <w:rsid w:val="00A644CD"/>
    <w:rsid w:val="00A64E1C"/>
    <w:rsid w:val="00A700ED"/>
    <w:rsid w:val="00A87353"/>
    <w:rsid w:val="00A97EFB"/>
    <w:rsid w:val="00AA087A"/>
    <w:rsid w:val="00AB04E7"/>
    <w:rsid w:val="00AB1A7F"/>
    <w:rsid w:val="00AD2BD7"/>
    <w:rsid w:val="00AE3034"/>
    <w:rsid w:val="00AF2703"/>
    <w:rsid w:val="00AF56BB"/>
    <w:rsid w:val="00B10C2A"/>
    <w:rsid w:val="00B12F56"/>
    <w:rsid w:val="00B3584C"/>
    <w:rsid w:val="00B4000E"/>
    <w:rsid w:val="00B640B3"/>
    <w:rsid w:val="00B704B9"/>
    <w:rsid w:val="00B85500"/>
    <w:rsid w:val="00BD70E8"/>
    <w:rsid w:val="00C00384"/>
    <w:rsid w:val="00C04770"/>
    <w:rsid w:val="00C056EC"/>
    <w:rsid w:val="00C11744"/>
    <w:rsid w:val="00C13B7E"/>
    <w:rsid w:val="00C15E67"/>
    <w:rsid w:val="00C20F82"/>
    <w:rsid w:val="00C27C04"/>
    <w:rsid w:val="00C36AC2"/>
    <w:rsid w:val="00C42932"/>
    <w:rsid w:val="00C42E83"/>
    <w:rsid w:val="00C45313"/>
    <w:rsid w:val="00C553A4"/>
    <w:rsid w:val="00C55C31"/>
    <w:rsid w:val="00C62387"/>
    <w:rsid w:val="00C75AE5"/>
    <w:rsid w:val="00C856CD"/>
    <w:rsid w:val="00C9275F"/>
    <w:rsid w:val="00C96438"/>
    <w:rsid w:val="00CA3C87"/>
    <w:rsid w:val="00CA4396"/>
    <w:rsid w:val="00CA72F8"/>
    <w:rsid w:val="00CB205B"/>
    <w:rsid w:val="00CB238D"/>
    <w:rsid w:val="00CC1C24"/>
    <w:rsid w:val="00CC426F"/>
    <w:rsid w:val="00CD01CA"/>
    <w:rsid w:val="00CF6A64"/>
    <w:rsid w:val="00D23B78"/>
    <w:rsid w:val="00D4685B"/>
    <w:rsid w:val="00D51B76"/>
    <w:rsid w:val="00D52E41"/>
    <w:rsid w:val="00D81FA6"/>
    <w:rsid w:val="00D81FEF"/>
    <w:rsid w:val="00D84D11"/>
    <w:rsid w:val="00D901ED"/>
    <w:rsid w:val="00D96524"/>
    <w:rsid w:val="00DA6DCD"/>
    <w:rsid w:val="00DB7552"/>
    <w:rsid w:val="00DF5C48"/>
    <w:rsid w:val="00E033C4"/>
    <w:rsid w:val="00E156C1"/>
    <w:rsid w:val="00E249C0"/>
    <w:rsid w:val="00E3485C"/>
    <w:rsid w:val="00E34EB9"/>
    <w:rsid w:val="00E3677C"/>
    <w:rsid w:val="00E5022F"/>
    <w:rsid w:val="00E523D5"/>
    <w:rsid w:val="00E66DF4"/>
    <w:rsid w:val="00E84B83"/>
    <w:rsid w:val="00E947FA"/>
    <w:rsid w:val="00E96564"/>
    <w:rsid w:val="00EA17CF"/>
    <w:rsid w:val="00EB013D"/>
    <w:rsid w:val="00EC016F"/>
    <w:rsid w:val="00ED28FB"/>
    <w:rsid w:val="00EE299A"/>
    <w:rsid w:val="00EE386B"/>
    <w:rsid w:val="00EE4B49"/>
    <w:rsid w:val="00F201E1"/>
    <w:rsid w:val="00F24A5B"/>
    <w:rsid w:val="00F4405F"/>
    <w:rsid w:val="00F63BB7"/>
    <w:rsid w:val="00F65092"/>
    <w:rsid w:val="00F74415"/>
    <w:rsid w:val="00F749D2"/>
    <w:rsid w:val="00F75D90"/>
    <w:rsid w:val="00F8023F"/>
    <w:rsid w:val="00F87E79"/>
    <w:rsid w:val="00F96EB9"/>
    <w:rsid w:val="00F974BA"/>
    <w:rsid w:val="00FA1136"/>
    <w:rsid w:val="00FB629D"/>
    <w:rsid w:val="00FC37E2"/>
    <w:rsid w:val="00FD0605"/>
    <w:rsid w:val="00FD0D67"/>
    <w:rsid w:val="00FD175A"/>
    <w:rsid w:val="00FD59C7"/>
    <w:rsid w:val="00FE01E8"/>
    <w:rsid w:val="00FE2FB2"/>
    <w:rsid w:val="00FE328C"/>
    <w:rsid w:val="00FE3609"/>
    <w:rsid w:val="00FE4D3C"/>
    <w:rsid w:val="00FE76DE"/>
    <w:rsid w:val="02313F99"/>
    <w:rsid w:val="040622A9"/>
    <w:rsid w:val="05080F4B"/>
    <w:rsid w:val="07B44890"/>
    <w:rsid w:val="08B82CD7"/>
    <w:rsid w:val="0C1B4C08"/>
    <w:rsid w:val="0F8E2A7D"/>
    <w:rsid w:val="12E82452"/>
    <w:rsid w:val="14710F5B"/>
    <w:rsid w:val="14A71393"/>
    <w:rsid w:val="18C139D9"/>
    <w:rsid w:val="18D029D9"/>
    <w:rsid w:val="1A17142F"/>
    <w:rsid w:val="1A2A15A2"/>
    <w:rsid w:val="1BA5464F"/>
    <w:rsid w:val="1BF105C9"/>
    <w:rsid w:val="20B3409F"/>
    <w:rsid w:val="27EA2D7C"/>
    <w:rsid w:val="285256AB"/>
    <w:rsid w:val="299238B4"/>
    <w:rsid w:val="29D27C23"/>
    <w:rsid w:val="2AC068BD"/>
    <w:rsid w:val="2DCD679C"/>
    <w:rsid w:val="30A43A04"/>
    <w:rsid w:val="35BA480A"/>
    <w:rsid w:val="372E2C87"/>
    <w:rsid w:val="3B7F0EF2"/>
    <w:rsid w:val="3CF74744"/>
    <w:rsid w:val="41160006"/>
    <w:rsid w:val="430C6458"/>
    <w:rsid w:val="44E75AB2"/>
    <w:rsid w:val="470E79D1"/>
    <w:rsid w:val="473E2065"/>
    <w:rsid w:val="4C672647"/>
    <w:rsid w:val="4CCA437D"/>
    <w:rsid w:val="4FC43323"/>
    <w:rsid w:val="56464716"/>
    <w:rsid w:val="577832D4"/>
    <w:rsid w:val="59617E35"/>
    <w:rsid w:val="5E172A58"/>
    <w:rsid w:val="5F586378"/>
    <w:rsid w:val="61A1325C"/>
    <w:rsid w:val="661B717E"/>
    <w:rsid w:val="666B40A1"/>
    <w:rsid w:val="6B9427B5"/>
    <w:rsid w:val="6EAE5515"/>
    <w:rsid w:val="73903457"/>
    <w:rsid w:val="75C71815"/>
    <w:rsid w:val="7B307BF3"/>
    <w:rsid w:val="7D8B1D7F"/>
    <w:rsid w:val="7EAD2413"/>
    <w:rsid w:val="7F04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1"/>
    <w:pPr>
      <w:ind w:left="286"/>
      <w:outlineLvl w:val="0"/>
    </w:pPr>
    <w:rPr>
      <w:rFonts w:ascii="Times New Roman" w:hAnsi="Times New Roman" w:eastAsia="Times New Roman" w:cs="Times New Roman"/>
      <w:b/>
      <w:bCs/>
    </w:rPr>
  </w:style>
  <w:style w:type="character" w:default="1" w:styleId="13">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9"/>
    <w:semiHidden/>
    <w:unhideWhenUsed/>
    <w:qFormat/>
    <w:uiPriority w:val="99"/>
    <w:pPr>
      <w:spacing w:line="240" w:lineRule="auto"/>
    </w:pPr>
    <w:rPr>
      <w:sz w:val="20"/>
      <w:szCs w:val="20"/>
    </w:rPr>
  </w:style>
  <w:style w:type="paragraph" w:styleId="4">
    <w:name w:val="Body Text"/>
    <w:basedOn w:val="1"/>
    <w:qFormat/>
    <w:uiPriority w:val="1"/>
    <w:rPr>
      <w:rFonts w:ascii="Times New Roman" w:hAnsi="Times New Roman" w:eastAsia="Times New Roman" w:cs="Times New Roman"/>
    </w:rPr>
  </w:style>
  <w:style w:type="paragraph" w:styleId="5">
    <w:name w:val="Balloon Text"/>
    <w:basedOn w:val="1"/>
    <w:link w:val="31"/>
    <w:semiHidden/>
    <w:unhideWhenUsed/>
    <w:qFormat/>
    <w:uiPriority w:val="99"/>
    <w:pPr>
      <w:spacing w:after="0" w:line="240" w:lineRule="auto"/>
    </w:pPr>
    <w:rPr>
      <w:rFonts w:ascii="Segoe UI" w:hAnsi="Segoe UI" w:cs="Segoe UI"/>
      <w:sz w:val="18"/>
      <w:szCs w:val="18"/>
    </w:rPr>
  </w:style>
  <w:style w:type="paragraph" w:styleId="6">
    <w:name w:val="footer"/>
    <w:basedOn w:val="1"/>
    <w:link w:val="33"/>
    <w:unhideWhenUsed/>
    <w:qFormat/>
    <w:uiPriority w:val="99"/>
    <w:pPr>
      <w:tabs>
        <w:tab w:val="center" w:pos="4680"/>
        <w:tab w:val="right" w:pos="9360"/>
      </w:tabs>
      <w:spacing w:after="0" w:line="240" w:lineRule="auto"/>
    </w:pPr>
  </w:style>
  <w:style w:type="paragraph" w:styleId="7">
    <w:name w:val="header"/>
    <w:basedOn w:val="1"/>
    <w:link w:val="32"/>
    <w:unhideWhenUsed/>
    <w:qFormat/>
    <w:uiPriority w:val="99"/>
    <w:pPr>
      <w:tabs>
        <w:tab w:val="center" w:pos="4680"/>
        <w:tab w:val="right" w:pos="9360"/>
      </w:tabs>
      <w:spacing w:after="0" w:line="240" w:lineRule="auto"/>
    </w:pPr>
  </w:style>
  <w:style w:type="paragraph" w:styleId="8">
    <w:name w:val="Title"/>
    <w:basedOn w:val="1"/>
    <w:qFormat/>
    <w:uiPriority w:val="1"/>
    <w:pPr>
      <w:spacing w:before="78"/>
      <w:ind w:left="3635" w:right="3451"/>
      <w:jc w:val="center"/>
    </w:pPr>
    <w:rPr>
      <w:rFonts w:ascii="Times New Roman" w:hAnsi="Times New Roman" w:eastAsia="Times New Roman" w:cs="Times New Roman"/>
      <w:b/>
      <w:bCs/>
      <w:sz w:val="28"/>
      <w:szCs w:val="28"/>
    </w:rPr>
  </w:style>
  <w:style w:type="paragraph" w:styleId="9">
    <w:name w:val="annotation subject"/>
    <w:basedOn w:val="3"/>
    <w:next w:val="3"/>
    <w:link w:val="30"/>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
    <w:name w:val="Light List Accent 1"/>
    <w:basedOn w:val="10"/>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16"/>
      <w:szCs w:val="16"/>
    </w:rPr>
  </w:style>
  <w:style w:type="paragraph" w:customStyle="1" w:styleId="16">
    <w:name w:val="msonormal"/>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7">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8">
    <w:name w:val="textrun"/>
    <w:basedOn w:val="13"/>
    <w:qFormat/>
    <w:uiPriority w:val="0"/>
  </w:style>
  <w:style w:type="character" w:customStyle="1" w:styleId="19">
    <w:name w:val="normaltextrun"/>
    <w:basedOn w:val="13"/>
    <w:qFormat/>
    <w:uiPriority w:val="0"/>
  </w:style>
  <w:style w:type="character" w:customStyle="1" w:styleId="20">
    <w:name w:val="eop"/>
    <w:basedOn w:val="13"/>
    <w:qFormat/>
    <w:uiPriority w:val="0"/>
  </w:style>
  <w:style w:type="character" w:customStyle="1" w:styleId="21">
    <w:name w:val="contextualspellingandgrammarerror"/>
    <w:basedOn w:val="13"/>
    <w:qFormat/>
    <w:uiPriority w:val="0"/>
  </w:style>
  <w:style w:type="character" w:customStyle="1" w:styleId="22">
    <w:name w:val="advancedproofingissue"/>
    <w:basedOn w:val="13"/>
    <w:qFormat/>
    <w:uiPriority w:val="0"/>
  </w:style>
  <w:style w:type="character" w:customStyle="1" w:styleId="23">
    <w:name w:val="spellingerror"/>
    <w:basedOn w:val="13"/>
    <w:qFormat/>
    <w:uiPriority w:val="0"/>
  </w:style>
  <w:style w:type="character" w:customStyle="1" w:styleId="24">
    <w:name w:val="pagebreakblob"/>
    <w:basedOn w:val="13"/>
    <w:qFormat/>
    <w:uiPriority w:val="0"/>
  </w:style>
  <w:style w:type="character" w:customStyle="1" w:styleId="25">
    <w:name w:val="pagebreakborderspan"/>
    <w:basedOn w:val="13"/>
    <w:qFormat/>
    <w:uiPriority w:val="0"/>
  </w:style>
  <w:style w:type="character" w:customStyle="1" w:styleId="26">
    <w:name w:val="pagebreaktextspan"/>
    <w:basedOn w:val="13"/>
    <w:qFormat/>
    <w:uiPriority w:val="0"/>
  </w:style>
  <w:style w:type="paragraph" w:styleId="27">
    <w:name w:val="List Paragraph"/>
    <w:basedOn w:val="1"/>
    <w:link w:val="28"/>
    <w:qFormat/>
    <w:uiPriority w:val="34"/>
    <w:pPr>
      <w:ind w:left="720"/>
      <w:contextualSpacing/>
    </w:pPr>
  </w:style>
  <w:style w:type="character" w:customStyle="1" w:styleId="28">
    <w:name w:val="List Paragraph Char"/>
    <w:basedOn w:val="13"/>
    <w:link w:val="27"/>
    <w:qFormat/>
    <w:uiPriority w:val="34"/>
  </w:style>
  <w:style w:type="character" w:customStyle="1" w:styleId="29">
    <w:name w:val="Comment Text Char"/>
    <w:basedOn w:val="13"/>
    <w:link w:val="3"/>
    <w:semiHidden/>
    <w:qFormat/>
    <w:uiPriority w:val="99"/>
    <w:rPr>
      <w:sz w:val="20"/>
      <w:szCs w:val="20"/>
    </w:rPr>
  </w:style>
  <w:style w:type="character" w:customStyle="1" w:styleId="30">
    <w:name w:val="Comment Subject Char"/>
    <w:basedOn w:val="29"/>
    <w:link w:val="9"/>
    <w:semiHidden/>
    <w:qFormat/>
    <w:uiPriority w:val="99"/>
    <w:rPr>
      <w:b/>
      <w:bCs/>
      <w:sz w:val="20"/>
      <w:szCs w:val="20"/>
    </w:rPr>
  </w:style>
  <w:style w:type="character" w:customStyle="1" w:styleId="31">
    <w:name w:val="Balloon Text Char"/>
    <w:basedOn w:val="13"/>
    <w:link w:val="5"/>
    <w:semiHidden/>
    <w:qFormat/>
    <w:uiPriority w:val="99"/>
    <w:rPr>
      <w:rFonts w:ascii="Segoe UI" w:hAnsi="Segoe UI" w:cs="Segoe UI"/>
      <w:sz w:val="18"/>
      <w:szCs w:val="18"/>
    </w:rPr>
  </w:style>
  <w:style w:type="character" w:customStyle="1" w:styleId="32">
    <w:name w:val="Header Char"/>
    <w:basedOn w:val="13"/>
    <w:link w:val="7"/>
    <w:qFormat/>
    <w:uiPriority w:val="99"/>
  </w:style>
  <w:style w:type="character" w:customStyle="1" w:styleId="33">
    <w:name w:val="Footer Char"/>
    <w:basedOn w:val="13"/>
    <w:link w:val="6"/>
    <w:qFormat/>
    <w:uiPriority w:val="99"/>
  </w:style>
  <w:style w:type="paragraph" w:styleId="34">
    <w:name w:val="No Spacing"/>
    <w:qFormat/>
    <w:uiPriority w:val="1"/>
    <w:rPr>
      <w:rFonts w:asciiTheme="minorHAnsi" w:hAnsiTheme="minorHAnsi" w:eastAsiaTheme="minorEastAsia" w:cstheme="minorBidi"/>
      <w:sz w:val="22"/>
      <w:szCs w:val="22"/>
      <w:lang w:val="en-US" w:eastAsia="en-US" w:bidi="ar-SA"/>
    </w:rPr>
  </w:style>
  <w:style w:type="paragraph" w:customStyle="1" w:styleId="35">
    <w:name w:val="Table Paragraph"/>
    <w:basedOn w:val="1"/>
    <w:qFormat/>
    <w:uiPriority w:val="1"/>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681FFFBFA54F47871F8AA8668E6025" ma:contentTypeVersion="11" ma:contentTypeDescription="Create a new document." ma:contentTypeScope="" ma:versionID="48bb786cd3c30b26f05af6b583f7c6ea">
  <xsd:schema xmlns:xsd="http://www.w3.org/2001/XMLSchema" xmlns:xs="http://www.w3.org/2001/XMLSchema" xmlns:p="http://schemas.microsoft.com/office/2006/metadata/properties" xmlns:ns3="9a76bc30-8182-4559-95db-8f3386386df9" xmlns:ns4="866e86de-4fe7-4b3e-898c-a30f4f8ae5f0" targetNamespace="http://schemas.microsoft.com/office/2006/metadata/properties" ma:root="true" ma:fieldsID="10c17f41ed42e1d001675aaa45035a7a" ns3:_="" ns4:_="">
    <xsd:import namespace="9a76bc30-8182-4559-95db-8f3386386df9"/>
    <xsd:import namespace="866e86de-4fe7-4b3e-898c-a30f4f8ae5f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76bc30-8182-4559-95db-8f3386386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6e86de-4fe7-4b3e-898c-a30f4f8ae5f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7E49AF-F8D0-44D4-BE6F-906ED2D39645}">
  <ds:schemaRefs/>
</ds:datastoreItem>
</file>

<file path=customXml/itemProps3.xml><?xml version="1.0" encoding="utf-8"?>
<ds:datastoreItem xmlns:ds="http://schemas.openxmlformats.org/officeDocument/2006/customXml" ds:itemID="{795828E4-F01B-4C8E-A91C-914321159CFB}">
  <ds:schemaRefs/>
</ds:datastoreItem>
</file>

<file path=customXml/itemProps4.xml><?xml version="1.0" encoding="utf-8"?>
<ds:datastoreItem xmlns:ds="http://schemas.openxmlformats.org/officeDocument/2006/customXml" ds:itemID="{355292CA-A73A-4668-B30C-11954C861EFD}">
  <ds:schemaRefs/>
</ds:datastoreItem>
</file>

<file path=customXml/itemProps5.xml><?xml version="1.0" encoding="utf-8"?>
<ds:datastoreItem xmlns:ds="http://schemas.openxmlformats.org/officeDocument/2006/customXml" ds:itemID="{8C679A29-3BF3-451F-8F2C-37E7F7909DA1}">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3484</Words>
  <Characters>19732</Characters>
  <Lines>159</Lines>
  <Paragraphs>44</Paragraphs>
  <TotalTime>1</TotalTime>
  <ScaleCrop>false</ScaleCrop>
  <LinksUpToDate>false</LinksUpToDate>
  <CharactersWithSpaces>23026</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2023-02-09T00:57:00Z</dcterms:created>
  <cp:lastPrinted>2021-06-18T06:22:00Z</cp:lastPrinted>
  <dcterms:modified xsi:type="dcterms:W3CDTF">2023-05-22T08:46:01Z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0x010100A2681FFFBFA54F47871F8AA8668E6025</vt:lpwstr>
  </property>
  <property fmtid="{D5CDD505-2E9C-101B-9397-08002B2CF9AE}" pid="3" name="KSOProductBuildVer">
    <vt:lpwstr>2052-11.1.0.14177</vt:lpwstr>
  </property>
  <property fmtid="{D5CDD505-2E9C-101B-9397-08002B2CF9AE}" pid="4" name="ICV">
    <vt:lpwstr>336F608426A64251A9165DDC5FF9869A_13</vt:lpwstr>
  </property>
</Properties>
</file>